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80"/>
      </w:pPr>
      <w:r>
        <w:rPr>
          <w:rFonts w:ascii="Arial" w:cs="Arial" w:eastAsia="Arial" w:hAnsi="Arial"/>
          <w:b/>
          <w:bCs/>
          <w:sz w:val="30"/>
          <w:szCs w:val="30"/>
        </w:rPr>
        <w:t xml:space="preserve">Справка о товаре: ввоз в Россию</w:t>
      </w:r>
    </w:p>
    <w:p>
      <w:pPr>
        <w:spacing w:after="8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Код ТН ВЭД ЕАЭС 2516 11 000 0</w:t>
      </w:r>
    </w:p>
    <w:p>
      <w:pPr>
        <w:spacing w:after="200"/>
      </w:pPr>
      <w:r>
        <w:rPr>
          <w:rFonts w:ascii="Arial" w:cs="Arial" w:eastAsia="Arial" w:hAnsi="Arial"/>
          <w:color w:val="5B6472"/>
          <w:sz w:val="19"/>
          <w:szCs w:val="19"/>
        </w:rPr>
        <w:t xml:space="preserve">Сведения на 29.10.2026</w:t>
      </w:r>
    </w:p>
    <w:tbl>
      <w:tblPr>
        <w:tblW w:type="dxa" w:w="10204"/>
        <w:tblBorders>
          <w:top w:val="single" w:color="C9CFD8" w:sz="4"/>
          <w:left w:val="single" w:color="C9CFD8" w:sz="4"/>
          <w:bottom w:val="single" w:color="C9CFD8" w:sz="4"/>
          <w:right w:val="single" w:color="C9CFD8" w:sz="4"/>
          <w:insideH w:val="single" w:color="C9CFD8" w:sz="4"/>
          <w:insideV w:val="single" w:color="C9CFD8" w:sz="4"/>
        </w:tblBorders>
      </w:tblPr>
      <w:tblGrid>
        <w:gridCol w:w="2600"/>
        <w:gridCol w:w="7604"/>
      </w:tblGrid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Наименование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Раздел V. Минеральные продукты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 — СОЛЬ; СЕРА; ЗЕМЛИ И КАМЕНЬ; ШТУКАТУРНЫЕ МАТЕРИАЛЫ, ИЗВЕСТЬ И ЦЕМЕНТ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— Гранит, порфир, базальт, песчаник и камень для памятников или строительства прочий, грубо раздробленные или нераздробленные, распиленные или нераспиленные, либо разделенные другим способом на блоки или плиты прямоугольной (включая квадратную) формы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11 — Гранит: необработанный или грубо раздробленный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2516 11 00 — Гранит: необработанный или грубо раздробленный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2516 11 000 0 — Гранит: необработанный или грубо раздробленный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0-vgs8izsycf_o6edfnzr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Дополнительная единица измерения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Не применяется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Единая товарная номенклатура ВЭД ЕАЭС, </w:t>
            </w:r>
            <w:hyperlink w:history="1" r:id="rId4y-l2cd8nrfgz57vodbm8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14.09.2021 № 80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Какие документы нужны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— </w:t>
            </w:r>
            <w:hyperlink w:history="1" r:id="rId5qckgf0st_pr9ds9etdkz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(касается части товаров кода)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других стран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Страна продавца запрещает вывоз такого товара в Россию: касается товара, который покупают в этой стране или у её компаний.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США: </w:t>
            </w:r>
            <w:hyperlink w:history="1" r:id="rIdfhv6pa5qqcr_ksstkirjj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Правила экспортного контроля США (EAR), часть 746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, дополнение № 4 (промышленные товары)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Ввозная пошлина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3% — ставка Единого таможенного тарифа ЕАЭС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ЕТТ ЕАЭС в редакции </w:t>
            </w:r>
            <w:hyperlink w:history="1" r:id="rIdo6d0eawu8xvrylwwxld97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№ 80 от 14.09.2021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, с 01.01.2022; более поздних решений о ставке по этому коду в нашем реестре нет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развивающихся стран (33): преференция, 75% ставки ЕТТ (2,25%).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Товар из наименее развитых стран (46): преференция, ставка 0%.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Условия преференции: документ о происхождении товара и прямая поставка. </w:t>
            </w:r>
            <w:hyperlink w:history="1" r:id="rIdgd9tv7o3xtri_xipqlkug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Совета ЕЭК от 13.01.2017 № 8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Особые виды пошлин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Антидемпинговые, компенсационные и специальные пошлины по коду не применяются.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Договор о Евразийском экономическом союзе от 29.05.2014, приложение № 8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Акциз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Подакцизных видов товаров по коду нет (статья 181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НДС при ввозе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22% — основная ставка (статья 164 НК РФ).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Таможенный сбор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Зависит от таможенной стоимости товаров в декларации (2026):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0 до 200 000 ₽ — 1 231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200 000 до 450 000 ₽ — 2 462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450 000 до 1 200 000 ₽ — 4 924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1 200 000 до 2 700 000 ₽ — 13 541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2 700 000 до 4 200 000 ₽ — 18 465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4 200 000 до 5 500 000 ₽ — 21 344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от 5 500 000 до 10 000 000 ₽ — 49 240 ₽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свыше 10 000 000 ₽ — 73 860 ₽</w:t>
            </w:r>
          </w:p>
          <w:p>
            <w:pPr>
              <w:spacing w:after="60"/>
            </w:pPr>
            <w:hyperlink w:history="1" r:id="rIdgpyiqnsyx2qizim9lmuno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Постановление Правительства РФ от 28.11.2024 № 1637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 в редакции от 23.10.2025 № 1638.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Запреты и ограничения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Запретов и разрешительного порядка на ввоз по коду в перечнях России и ЕАЭС нет.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Обязательная маркировка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перечне товаров с обязательной маркировкой (</w:t>
            </w:r>
            <w:hyperlink w:history="1" r:id="rIdq67rofh_h9p35lodourja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распоряжение № 792-р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 в редакции № 1765-р, № 249-р и № 956-р).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Разрешительные документы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в перечнях техрегламентов ЕАЭС и в едином перечне России (постановление № 2425), которые мы сверяем.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Ветеринарный, фитосанитарный и санитарный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Санитарно-эпидемиологический надзор (контроль) (в перечне названа вся группа: касается товаров с этим наименованием): Пищевые продукты (продукты в натуральном или переработанном виде, употребляемые человеком в пищу), в том числе полученные с использованием генно-инженерно-модифицированных (трансгенных) организмов; Материалы, оборудование, вещества, устройства, применяемые в сфере хозяйственно-питьевого водоснабжения и при очистке сточных вод, в плавательных бассейнах; Изделия из натурального сырья,…</w:t>
            </w:r>
          </w:p>
          <w:p>
            <w:pPr>
              <w:spacing w:after="60"/>
            </w:pPr>
            <w:hyperlink w:history="1" r:id="rIdlcev78uquy7m8skovk-uu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Коллегии Евразийской экономической комиссии от 17.09.2019 № 154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Прочие особенности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Деревянная упаковка и крепёжный материал (поддоны, ящики, прокладки) должны иметь маркировку по международному стандарту МСФМ № 15 (Единые карантинные фитосанитарные требования, решение Совета ЕЭК от 30.11.2016 № 157).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Если на товаре есть товарный знак, проверьте его в таможенном реестре объектов интеллектуальной собственности: выпуск товара со знаком из реестра могут приостановить до подтверждения прав. Поиск по реестру: https://imexp.ru/tools/proverka-tovara?tab=trois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Экспортный контроль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Код не назван ни в одном из шести контрольных списков экспортного контроля (</w:t>
            </w:r>
            <w:hyperlink w:history="1" r:id="rIdz9t3j7urb5lsvdo3ed1wm">
              <w:r>
                <w:rPr>
                  <w:rFonts w:ascii="Arial" w:cs="Arial" w:eastAsia="Arial" w:hAnsi="Arial"/>
                  <w:color w:val="1F5FBF"/>
                  <w:sz w:val="19"/>
                  <w:szCs w:val="19"/>
                  <w:u w:val="single"/>
                </w:rPr>
                <w:t xml:space="preserve">постановления Правительства РФ от 16.07.2022 № 1284</w:t>
              </w:r>
            </w:hyperlink>
            <w:r>
              <w:rPr>
                <w:rFonts w:ascii="Arial" w:cs="Arial" w:eastAsia="Arial" w:hAnsi="Arial"/>
                <w:sz w:val="19"/>
                <w:szCs w:val="19"/>
              </w:rPr>
              <w:t xml:space="preserve">–1288 и от 19.07.2022 № 1299).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Классификация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Решений о классификации по коду в наших наборах нет.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Таможенный кодекс ЕАЭС, статьи 20–22</w:t>
            </w:r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Декларирование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33 · Код товара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2516110000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 — во втором подразделе, если под одним кодом декларируются товары разных наименований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36 · Преференция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ОООО-ОО — Сборы, пошлина, акциз, НДС: льготы не запрашиваются, акциза нет (прочерк)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ООГГ-ОО — Тарифная преференция в отношении товаров, происходящих из развивающихся стран · если товар происходит из развивающейся страны и происхождение подтверждено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ООНН-ОО — Тарифная преференция в отношении товаров, происходящих из наименее развитых стран · если товар происходит из наименее развитой страны и происхождение подтверждено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44 · Представленные документы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06013 — Сертификат о происхождении товара формы "А" · если товар ввозится с тарифной преференцией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Графа 47 · Исчисление платежей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1010 — Таможенные сборы за совершение таможенных операций (за таможенное оформление товаров, за таможенное декларирование товаров, за таможенные операции)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2010 — Ввозная таможенная пошлина (иные пошлины, налоги и сборы, имеющие эквивалентное действие), обязанность по уплате которой возникла с 1 сентября 2010 г.</w:t>
            </w:r>
          </w:p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5010 — Налог на добавленную стоимость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Основание: </w:t>
            </w:r>
            <w:hyperlink w:history="1" r:id="rIdvkdknnnnpbagbogijneiq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20.05.2010 № 257</w:t>
              </w:r>
            </w:hyperlink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; классификаторы — </w:t>
            </w:r>
            <w:hyperlink w:history="1" r:id="rIdb8gyh-czsapxq99y6ejif">
              <w:r>
                <w:rPr>
                  <w:rFonts w:ascii="Arial" w:cs="Arial" w:eastAsia="Arial" w:hAnsi="Arial"/>
                  <w:color w:val="1F5FBF"/>
                  <w:sz w:val="17"/>
                  <w:szCs w:val="17"/>
                  <w:u w:val="single"/>
                </w:rPr>
                <w:t xml:space="preserve">Решение Комиссии Таможенного союза от 20.09.2010 № 378</w:t>
              </w:r>
            </w:hyperlink>
          </w:p>
        </w:tc>
      </w:tr>
      <w:tr>
        <w:trPr>
          <w:cantSplit w:val="false"/>
        </w:trPr>
        <w:tc>
          <w:tcPr>
            <w:tcW w:type="dxa" w:w="2600"/>
            <w:shd w:fill="F2F5F9" w:color="auto" w:val="clear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r>
              <w:rPr>
                <w:rFonts w:ascii="Arial" w:cs="Arial" w:eastAsia="Arial" w:hAnsi="Arial"/>
                <w:b/>
                <w:bCs/>
                <w:sz w:val="19"/>
                <w:szCs w:val="19"/>
              </w:rPr>
              <w:t xml:space="preserve">Переходные ключи ОКПД2</w:t>
            </w:r>
          </w:p>
        </w:tc>
        <w:tc>
          <w:tcPr>
            <w:tcW w:type="dxa" w:w="7604"/>
            <w:tcMar>
              <w:top w:type="dxa" w:w="80"/>
              <w:left w:type="dxa" w:w="120"/>
              <w:bottom w:type="dxa" w:w="80"/>
              <w:right w:type="dxa" w:w="120"/>
            </w:tcMar>
          </w:tcPr>
          <w:p>
            <w:pPr>
              <w:spacing w:after="60"/>
              <w:ind w:left="220" w:hanging="160"/>
            </w:pPr>
            <w:r>
              <w:rPr>
                <w:rFonts w:ascii="Arial" w:cs="Arial" w:eastAsia="Arial" w:hAnsi="Arial"/>
                <w:sz w:val="19"/>
                <w:szCs w:val="19"/>
              </w:rPr>
              <w:t xml:space="preserve">• 08.11.12 — Гранит, песчаник и прочий камень для памятников или строительства</w:t>
            </w:r>
          </w:p>
          <w:p>
            <w:pPr>
              <w:spacing w:after="60"/>
            </w:pPr>
            <w:r>
              <w:rPr>
                <w:rFonts w:ascii="Arial" w:cs="Arial" w:eastAsia="Arial" w:hAnsi="Arial"/>
                <w:color w:val="5B6472"/>
                <w:sz w:val="17"/>
                <w:szCs w:val="17"/>
              </w:rPr>
              <w:t xml:space="preserve">Ключи не исчерпывающие: ОКПД2 выбирают по виду деятельности и продукции.</w:t>
            </w:r>
          </w:p>
        </w:tc>
      </w:tr>
    </w:tbl>
    <w:p>
      <w:pPr>
        <w:spacing w:after="60" w:before="240"/>
      </w:pP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Справка собрана автоматически по официальным актам ЕАЭС и России. Меры, найденные по началу кода, помечены как касающиеся части товаров: применима ли мера к вашему товару, решают его характеристики и документы поставки. Справка не заменяет решение по классификации.</w:t>
      </w:r>
    </w:p>
    <w:p>
      <w:pPr>
        <w:spacing w:after="60"/>
      </w:pPr>
      <w:r>
        <w:rPr>
          <w:rFonts w:ascii="Arial" w:cs="Arial" w:eastAsia="Arial" w:hAnsi="Arial"/>
          <w:color w:val="5B6472"/>
          <w:sz w:val="17"/>
          <w:szCs w:val="17"/>
        </w:rPr>
        <w:t xml:space="preserve">Разъяснительные письма таможни и судебная практика в справку не входят. Проверку кода под ваш товар с обоснованием можно заказать на странице кода.</w:t>
      </w:r>
    </w:p>
    <w:p>
      <w:pPr>
        <w:jc w:val="left"/>
      </w:pPr>
      <w:r>
        <w:rPr>
          <w:rFonts w:ascii="Arial" w:cs="Arial" w:eastAsia="Arial" w:hAnsi="Arial"/>
          <w:color w:val="1F5FBF"/>
          <w:sz w:val="17"/>
          <w:szCs w:val="17"/>
        </w:rPr>
        <w:t xml:space="preserve">https://imexp.ru/katalog/kod/2516110000</w:t>
      </w:r>
    </w:p>
    <w:sectPr>
      <w:pgSz w:w="11906" w:h="16838" w:orient="portrait"/>
      <w:pgMar w:top="851" w:right="851" w:bottom="851" w:left="851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0-vgs8izsycf_o6edfnzr" Type="http://schemas.openxmlformats.org/officeDocument/2006/relationships/hyperlink" Target="https://docs.eaeunion.org/documents/386/6099/" TargetMode="External"/><Relationship Id="rId4y-l2cd8nrfgz57vodbm8" Type="http://schemas.openxmlformats.org/officeDocument/2006/relationships/hyperlink" Target="https://docs.eaeunion.org/documents/386/6099/" TargetMode="External"/><Relationship Id="rId5qckgf0st_pr9ds9etdkz" Type="http://schemas.openxmlformats.org/officeDocument/2006/relationships/hyperlink" Target="https://docs.eaeunion.org/documents/335/4666/" TargetMode="External"/><Relationship Id="rIdfhv6pa5qqcr_ksstkirjj" Type="http://schemas.openxmlformats.org/officeDocument/2006/relationships/hyperlink" Target="https://www.ecfr.gov/current/title-15/subtitle-B/chapter-VII/subchapter-C/part-746" TargetMode="External"/><Relationship Id="rIdo6d0eawu8xvrylwwxld97" Type="http://schemas.openxmlformats.org/officeDocument/2006/relationships/hyperlink" Target="https://docs.eaeunion.org/documents/386/6099/" TargetMode="External"/><Relationship Id="rIdgd9tv7o3xtri_xipqlkug" Type="http://schemas.openxmlformats.org/officeDocument/2006/relationships/hyperlink" Target="https://docs.eaeunion.org/documents/317/2804/" TargetMode="External"/><Relationship Id="rIdgpyiqnsyx2qizim9lmuno" Type="http://schemas.openxmlformats.org/officeDocument/2006/relationships/hyperlink" Target="http://publication.pravo.gov.ru/document/0001202411290098" TargetMode="External"/><Relationship Id="rIdq67rofh_h9p35lodourja" Type="http://schemas.openxmlformats.org/officeDocument/2006/relationships/hyperlink" Target="http://publication.pravo.gov.ru/document/0001201805040007" TargetMode="External"/><Relationship Id="rIdlcev78uquy7m8skovk-uu" Type="http://schemas.openxmlformats.org/officeDocument/2006/relationships/hyperlink" Target="https://docs.eaeunion.org/documents/335/4666/" TargetMode="External"/><Relationship Id="rIdz9t3j7urb5lsvdo3ed1wm" Type="http://schemas.openxmlformats.org/officeDocument/2006/relationships/hyperlink" Target="http://publication.pravo.gov.ru/document/0001202207190026" TargetMode="External"/><Relationship Id="rIdvkdknnnnpbagbogijneiq" Type="http://schemas.openxmlformats.org/officeDocument/2006/relationships/hyperlink" Target="https://docs.eaeunion.org/documents/214/946/" TargetMode="External"/><Relationship Id="rIdb8gyh-czsapxq99y6ejif" Type="http://schemas.openxmlformats.org/officeDocument/2006/relationships/hyperlink" Target="https://docs.eaeunion.org/documents/208/8939/" TargetMode="External"/><Relationship Id="rId1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Справка о товаре 2516 11 000 0</dc:title>
  <dc:creator>IMEXP</dc:creator>
  <cp:lastModifiedBy>Un-named</cp:lastModifiedBy>
  <cp:revision>1</cp:revision>
  <dcterms:created xsi:type="dcterms:W3CDTF">2026-10-28T23:30:21.598Z</dcterms:created>
  <dcterms:modified xsi:type="dcterms:W3CDTF">2026-10-28T23:30:21.598Z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