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ввоз в Россию</w:t>
      </w:r>
    </w:p>
    <w:p>
      <w:pPr>
        <w:spacing w:after="80"/>
      </w:pPr>
      <w:r>
        <w:rPr>
          <w:rFonts w:ascii="Arial" w:cs="Arial" w:eastAsia="Arial" w:hAnsi="Arial"/>
          <w:b/>
          <w:bCs/>
          <w:sz w:val="24"/>
          <w:szCs w:val="24"/>
        </w:rPr>
        <w:t xml:space="preserve">Код ТН ВЭД ЕАЭС 3208 10 100 0</w:t>
      </w:r>
    </w:p>
    <w:p>
      <w:pPr>
        <w:spacing w:after="200"/>
      </w:pPr>
      <w:r>
        <w:rPr>
          <w:rFonts w:ascii="Arial" w:cs="Arial" w:eastAsia="Arial" w:hAnsi="Arial"/>
          <w:color w:val="5B6472"/>
          <w:sz w:val="19"/>
          <w:szCs w:val="19"/>
        </w:rPr>
        <w:t xml:space="preserve">Сведения на 28.10.2026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VI. Продукция химической и связанных с ней отраслей промышленности</w:t>
            </w:r>
          </w:p>
          <w:p>
            <w:pPr>
              <w:spacing w:after="60"/>
            </w:pPr>
            <w:r>
              <w:rPr>
                <w:rFonts w:ascii="Arial" w:cs="Arial" w:eastAsia="Arial" w:hAnsi="Arial"/>
                <w:color w:val="5B6472"/>
                <w:sz w:val="17"/>
                <w:szCs w:val="17"/>
              </w:rPr>
              <w:t xml:space="preserve">32 — ЭКСТРАКТЫ ДУБИЛЬНЫЕ ИЛИ КРАСИЛЬНЫЕ; ТАННИНЫ И ИХ ПРОИЗВОДНЫЕ; КРАСИТЕЛИ, ПИГМЕНТЫ И ПРОЧИЕ КРАСЯЩИЕ ВЕЩЕСТВА; КРАСКИ И ЛАКИ; ШПАТЛЕВКИ И ПРОЧИЕ МАСТИКИ; ПОЛИГРАФИЧЕСКАЯ КРАСКА, ЧЕРНИЛА, ТУШЬ</w:t>
            </w:r>
          </w:p>
          <w:p>
            <w:pPr>
              <w:spacing w:after="60"/>
            </w:pPr>
            <w:r>
              <w:rPr>
                <w:rFonts w:ascii="Arial" w:cs="Arial" w:eastAsia="Arial" w:hAnsi="Arial"/>
                <w:color w:val="5B6472"/>
                <w:sz w:val="17"/>
                <w:szCs w:val="17"/>
              </w:rPr>
              <w:t xml:space="preserve">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color w:val="5B6472"/>
                <w:sz w:val="17"/>
                <w:szCs w:val="17"/>
              </w:rPr>
              <w:t xml:space="preserve">3208 10 — На основе сложных полиэфиров</w:t>
            </w:r>
          </w:p>
          <w:p>
            <w:pPr>
              <w:spacing w:after="60"/>
            </w:pPr>
            <w:r>
              <w:rPr>
                <w:rFonts w:ascii="Arial" w:cs="Arial" w:eastAsia="Arial" w:hAnsi="Arial"/>
                <w:color w:val="5B6472"/>
                <w:sz w:val="17"/>
                <w:szCs w:val="17"/>
              </w:rPr>
              <w:t xml:space="preserve">3208 10 10 — На основе сложных полиэфиров: растворы, указанные в примечании 4 к данной группе</w:t>
            </w:r>
          </w:p>
          <w:p>
            <w:pPr>
              <w:spacing w:after="60"/>
            </w:pPr>
            <w:r>
              <w:rPr>
                <w:rFonts w:ascii="Arial" w:cs="Arial" w:eastAsia="Arial" w:hAnsi="Arial"/>
                <w:b/>
                <w:bCs/>
                <w:sz w:val="19"/>
                <w:szCs w:val="19"/>
              </w:rPr>
              <w:t xml:space="preserve">3208 10 100 0 — На основе сложных полиэфиров: растворы, указанные в примечании 4 к данной группе</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ev74lugrr0j7byf2xkc4m">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77izorqbzd0w-voopjlkl">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Декларация о соответствии — Постановление № 2425 (касается части товаров кода)</w:t>
            </w:r>
          </w:p>
          <w:p>
            <w:pPr>
              <w:spacing w:after="60"/>
              <w:ind w:left="220" w:hanging="160"/>
            </w:pPr>
            <w:r>
              <w:rPr>
                <w:rFonts w:ascii="Arial" w:cs="Arial" w:eastAsia="Arial" w:hAnsi="Arial"/>
                <w:sz w:val="19"/>
                <w:szCs w:val="19"/>
              </w:rPr>
              <w:t xml:space="preserve">• Декларация на собственных доказательствах (вместо сертификата) — </w:t>
            </w:r>
            <w:hyperlink w:history="1" r:id="rId4pddg64dvmlnw02ea2gwf">
              <w:r>
                <w:rPr>
                  <w:rFonts w:ascii="Arial" w:cs="Arial" w:eastAsia="Arial" w:hAnsi="Arial"/>
                  <w:color w:val="1F5FBF"/>
                  <w:sz w:val="19"/>
                  <w:szCs w:val="19"/>
                  <w:u w:val="single"/>
                </w:rPr>
                <w:t xml:space="preserve">Постановление Правительства РФ № 353</w:t>
              </w:r>
            </w:hyperlink>
            <w:r>
              <w:rPr>
                <w:rFonts w:ascii="Arial" w:cs="Arial" w:eastAsia="Arial" w:hAnsi="Arial"/>
                <w:sz w:val="19"/>
                <w:szCs w:val="19"/>
              </w:rPr>
              <w:t xml:space="preserve">, приложение № 18, пункт 6 (до 01.09.2027 на партию товара; заявитель: российское юрлицо или ИП; декларация на 6 месяцев, без знака ЕАС)</w:t>
            </w:r>
          </w:p>
          <w:p>
            <w:pPr>
              <w:spacing w:after="60"/>
              <w:ind w:left="220" w:hanging="160"/>
            </w:pPr>
            <w:r>
              <w:rPr>
                <w:rFonts w:ascii="Arial" w:cs="Arial" w:eastAsia="Arial" w:hAnsi="Arial"/>
                <w:sz w:val="19"/>
                <w:szCs w:val="19"/>
              </w:rPr>
              <w:t xml:space="preserve">• Свидетельство о госрегистрации (СГР) — </w:t>
            </w:r>
            <w:hyperlink w:history="1" r:id="rIdfahgd4rkfiahsyu649pyj">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 (если товар относится к этому виду)</w:t>
            </w:r>
          </w:p>
          <w:p>
            <w:pPr>
              <w:spacing w:after="60"/>
              <w:ind w:left="220" w:hanging="160"/>
            </w:pPr>
            <w:r>
              <w:rPr>
                <w:rFonts w:ascii="Arial" w:cs="Arial" w:eastAsia="Arial" w:hAnsi="Arial"/>
                <w:sz w:val="19"/>
                <w:szCs w:val="19"/>
              </w:rPr>
              <w:t xml:space="preserve">• Санитарно-эпидемиологический надзор — </w:t>
            </w:r>
            <w:hyperlink w:history="1" r:id="rIdsa1haox2zia4-27qwkht9">
              <w:r>
                <w:rPr>
                  <w:rFonts w:ascii="Arial" w:cs="Arial" w:eastAsia="Arial" w:hAnsi="Arial"/>
                  <w:color w:val="1F5FBF"/>
                  <w:sz w:val="19"/>
                  <w:szCs w:val="19"/>
                  <w:u w:val="single"/>
                </w:rPr>
                <w:t xml:space="preserve">Решение Коллегии Евразийской экономической комиссии от 17.09.2019 № 154</w:t>
              </w:r>
            </w:hyperlink>
            <w:r>
              <w:rPr>
                <w:rFonts w:ascii="Arial" w:cs="Arial" w:eastAsia="Arial" w:hAnsi="Arial"/>
                <w:sz w:val="19"/>
                <w:szCs w:val="19"/>
              </w:rPr>
              <w:t xml:space="preserve"> (касается части товаров кода)</w:t>
            </w:r>
          </w:p>
          <w:p>
            <w:pPr>
              <w:spacing w:after="60"/>
              <w:ind w:left="220" w:hanging="160"/>
            </w:pPr>
            <w:r>
              <w:rPr>
                <w:rFonts w:ascii="Arial" w:cs="Arial" w:eastAsia="Arial" w:hAnsi="Arial"/>
                <w:sz w:val="19"/>
                <w:szCs w:val="19"/>
              </w:rPr>
              <w:t xml:space="preserve">• Регистрационное удостоверение медизделия — Федеральный закон № 323-ФЗ, статья 38 (если товар относится к этому виду)</w:t>
            </w:r>
          </w:p>
          <w:p>
            <w:pPr>
              <w:spacing w:after="60"/>
              <w:ind w:left="220" w:hanging="160"/>
            </w:pPr>
            <w:r>
              <w:rPr>
                <w:rFonts w:ascii="Arial" w:cs="Arial" w:eastAsia="Arial" w:hAnsi="Arial"/>
                <w:sz w:val="19"/>
                <w:szCs w:val="19"/>
              </w:rPr>
              <w:t xml:space="preserve">• Ввоз без согласия правообладателя (параллельный импорт) — </w:t>
            </w:r>
            <w:hyperlink w:history="1" r:id="rId6glir4evy1gtrb-x7gbjb">
              <w:r>
                <w:rPr>
                  <w:rFonts w:ascii="Arial" w:cs="Arial" w:eastAsia="Arial" w:hAnsi="Arial"/>
                  <w:color w:val="1F5FBF"/>
                  <w:sz w:val="19"/>
                  <w:szCs w:val="19"/>
                  <w:u w:val="single"/>
                </w:rPr>
                <w:t xml:space="preserve">Приказ Минпромторга России № 2701</w:t>
              </w:r>
            </w:hyperlink>
            <w:r>
              <w:rPr>
                <w:rFonts w:ascii="Arial" w:cs="Arial" w:eastAsia="Arial" w:hAnsi="Arial"/>
                <w:sz w:val="19"/>
                <w:szCs w:val="19"/>
              </w:rPr>
              <w:t xml:space="preserve">, пункты 25 и 27 (только для товарных знаков из перечня)</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продавца запрещает вывоз такого товара в Россию: касается товара, который покупают в этой стране или у её компаний.</w:t>
            </w:r>
          </w:p>
          <w:p>
            <w:pPr>
              <w:spacing w:after="60"/>
              <w:ind w:left="220" w:hanging="160"/>
            </w:pPr>
            <w:r>
              <w:rPr>
                <w:rFonts w:ascii="Arial" w:cs="Arial" w:eastAsia="Arial" w:hAnsi="Arial"/>
                <w:sz w:val="19"/>
                <w:szCs w:val="19"/>
              </w:rPr>
              <w:t xml:space="preserve">• ЕС: </w:t>
            </w:r>
            <w:hyperlink w:history="1" r:id="rIdetoadv7ugosgqyd04e2qq">
              <w:r>
                <w:rPr>
                  <w:rFonts w:ascii="Arial" w:cs="Arial" w:eastAsia="Arial" w:hAnsi="Arial"/>
                  <w:color w:val="1F5FBF"/>
                  <w:sz w:val="19"/>
                  <w:szCs w:val="19"/>
                  <w:u w:val="single"/>
                </w:rPr>
                <w:t xml:space="preserve">Регламент Совета ЕС № 833/2014</w:t>
              </w:r>
            </w:hyperlink>
            <w:r>
              <w:rPr>
                <w:rFonts w:ascii="Arial" w:cs="Arial" w:eastAsia="Arial" w:hAnsi="Arial"/>
                <w:sz w:val="19"/>
                <w:szCs w:val="19"/>
              </w:rPr>
              <w:t xml:space="preserve">, приложение XXIII (промышленные товары)</w:t>
            </w:r>
          </w:p>
          <w:p>
            <w:pPr>
              <w:spacing w:after="60"/>
              <w:ind w:left="220" w:hanging="160"/>
            </w:pPr>
            <w:r>
              <w:rPr>
                <w:rFonts w:ascii="Arial" w:cs="Arial" w:eastAsia="Arial" w:hAnsi="Arial"/>
                <w:sz w:val="19"/>
                <w:szCs w:val="19"/>
              </w:rPr>
              <w:t xml:space="preserve">• Великобритания: </w:t>
            </w:r>
            <w:hyperlink w:history="1" r:id="rIdizle5ss6-bu3ewmgkrlfx">
              <w:r>
                <w:rPr>
                  <w:rFonts w:ascii="Arial" w:cs="Arial" w:eastAsia="Arial" w:hAnsi="Arial"/>
                  <w:color w:val="1F5FBF"/>
                  <w:sz w:val="19"/>
                  <w:szCs w:val="19"/>
                  <w:u w:val="single"/>
                </w:rPr>
                <w:t xml:space="preserve">Регламент Великобритании о санкциях против России 2019 года</w:t>
              </w:r>
            </w:hyperlink>
            <w:r>
              <w:rPr>
                <w:rFonts w:ascii="Arial" w:cs="Arial" w:eastAsia="Arial" w:hAnsi="Arial"/>
                <w:sz w:val="19"/>
                <w:szCs w:val="19"/>
              </w:rPr>
              <w:t xml:space="preserve">, приложение 3E (товары зависимости G7)</w:t>
            </w:r>
          </w:p>
          <w:p>
            <w:pPr>
              <w:spacing w:after="60"/>
              <w:ind w:left="220" w:hanging="160"/>
            </w:pPr>
            <w:r>
              <w:rPr>
                <w:rFonts w:ascii="Arial" w:cs="Arial" w:eastAsia="Arial" w:hAnsi="Arial"/>
                <w:sz w:val="19"/>
                <w:szCs w:val="19"/>
              </w:rPr>
              <w:t xml:space="preserve">• США: </w:t>
            </w:r>
            <w:hyperlink w:history="1" r:id="rIdb5x61iranxogvgnlbqozw">
              <w:r>
                <w:rPr>
                  <w:rFonts w:ascii="Arial" w:cs="Arial" w:eastAsia="Arial" w:hAnsi="Arial"/>
                  <w:color w:val="1F5FBF"/>
                  <w:sz w:val="19"/>
                  <w:szCs w:val="19"/>
                  <w:u w:val="single"/>
                </w:rPr>
                <w:t xml:space="preserve">Правила экспортного контроля США (EAR), часть 746</w:t>
              </w:r>
            </w:hyperlink>
            <w:r>
              <w:rPr>
                <w:rFonts w:ascii="Arial" w:cs="Arial" w:eastAsia="Arial" w:hAnsi="Arial"/>
                <w:sz w:val="19"/>
                <w:szCs w:val="19"/>
              </w:rPr>
              <w:t xml:space="preserve">, дополнение № 4 (промышленные товары)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Параллельный импорт</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подпадает под перечень </w:t>
            </w:r>
            <w:hyperlink w:history="1" r:id="rIdvreltoztlmu5s25n3dysl">
              <w:r>
                <w:rPr>
                  <w:rFonts w:ascii="Arial" w:cs="Arial" w:eastAsia="Arial" w:hAnsi="Arial"/>
                  <w:color w:val="1F5FBF"/>
                  <w:sz w:val="19"/>
                  <w:szCs w:val="19"/>
                  <w:u w:val="single"/>
                </w:rPr>
                <w:t xml:space="preserve">приказа Минпромторга России от 21.07.2023 № 2701</w:t>
              </w:r>
            </w:hyperlink>
            <w:r>
              <w:rPr>
                <w:rFonts w:ascii="Arial" w:cs="Arial" w:eastAsia="Arial" w:hAnsi="Arial"/>
                <w:sz w:val="19"/>
                <w:szCs w:val="19"/>
              </w:rPr>
              <w:t xml:space="preserve">: товар, введённый в оборот за рубежом правообладателем или с его согласия, можно ввозить без согласия правообладателя, но только под товарными знаками пункта.</w:t>
            </w:r>
          </w:p>
          <w:p>
            <w:pPr>
              <w:spacing w:after="60"/>
              <w:ind w:left="220" w:hanging="160"/>
            </w:pPr>
            <w:r>
              <w:rPr>
                <w:rFonts w:ascii="Arial" w:cs="Arial" w:eastAsia="Arial" w:hAnsi="Arial"/>
                <w:sz w:val="19"/>
                <w:szCs w:val="19"/>
              </w:rPr>
              <w:t xml:space="preserve">• Пункт 25 (32): ACURA, ALFA ROMEO, AUDI, BENTLEY, BMW, CADILLAC, CHEVROLET, CHRYSLER, DAEWOO, DAIHATSU, DATSUN, DODGE, FERRARI, FIAT, GENERAL MOTORS (GM), GMC, HEMPEL, HENKEL, HONDA, HUMMER, INFINITI, JAGUAR, JEEP, JOTUN, KCC, LAND ROVER, LEXUS, LINCOLN, LOCTITE, MASERATI,…</w:t>
            </w:r>
          </w:p>
          <w:p>
            <w:pPr>
              <w:spacing w:after="60"/>
              <w:ind w:left="220" w:hanging="160"/>
            </w:pPr>
            <w:r>
              <w:rPr>
                <w:rFonts w:ascii="Arial" w:cs="Arial" w:eastAsia="Arial" w:hAnsi="Arial"/>
                <w:sz w:val="19"/>
                <w:szCs w:val="19"/>
              </w:rPr>
              <w:t xml:space="preserve">• Пункт 27 (3208): FLINT GROUP, SIEGWERK</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Ввозная пошлина</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5% — ставка Единого таможенного тарифа ЕАЭС</w:t>
            </w:r>
          </w:p>
          <w:p>
            <w:pPr>
              <w:spacing w:after="60"/>
            </w:pPr>
            <w:r>
              <w:rPr>
                <w:rFonts w:ascii="Arial" w:cs="Arial" w:eastAsia="Arial" w:hAnsi="Arial"/>
                <w:color w:val="5B6472"/>
                <w:sz w:val="17"/>
                <w:szCs w:val="17"/>
              </w:rPr>
              <w:t xml:space="preserve">ЕТТ ЕАЭС в редакции </w:t>
            </w:r>
            <w:hyperlink w:history="1" r:id="rIdpajsllnlifpotzfxjzy5d">
              <w:r>
                <w:rPr>
                  <w:rFonts w:ascii="Arial" w:cs="Arial" w:eastAsia="Arial" w:hAnsi="Arial"/>
                  <w:color w:val="1F5FBF"/>
                  <w:sz w:val="17"/>
                  <w:szCs w:val="17"/>
                  <w:u w:val="single"/>
                </w:rPr>
                <w:t xml:space="preserve">Решение Совета ЕЭК № 80 от 14.09.2021</w:t>
              </w:r>
            </w:hyperlink>
            <w:r>
              <w:rPr>
                <w:rFonts w:ascii="Arial" w:cs="Arial" w:eastAsia="Arial" w:hAnsi="Arial"/>
                <w:color w:val="5B6472"/>
                <w:sz w:val="17"/>
                <w:szCs w:val="17"/>
              </w:rPr>
              <w:t xml:space="preserve">, с 01.01.2022; более поздних решений о ставке по этому коду в нашем реестре нет</w:t>
            </w:r>
          </w:p>
          <w:p>
            <w:pPr>
              <w:spacing w:after="60"/>
              <w:ind w:left="220" w:hanging="160"/>
            </w:pPr>
            <w:r>
              <w:rPr>
                <w:rFonts w:ascii="Arial" w:cs="Arial" w:eastAsia="Arial" w:hAnsi="Arial"/>
                <w:sz w:val="19"/>
                <w:szCs w:val="19"/>
              </w:rPr>
              <w:t xml:space="preserve">• Товар из развивающихся стран (33): преференция, 75% ставки ЕТТ (3,75%).</w:t>
            </w:r>
          </w:p>
          <w:p>
            <w:pPr>
              <w:spacing w:after="60"/>
              <w:ind w:left="220" w:hanging="160"/>
            </w:pPr>
            <w:r>
              <w:rPr>
                <w:rFonts w:ascii="Arial" w:cs="Arial" w:eastAsia="Arial" w:hAnsi="Arial"/>
                <w:sz w:val="19"/>
                <w:szCs w:val="19"/>
              </w:rPr>
              <w:t xml:space="preserve">• Товар из наименее развитых стран (46): преференция, ставка 0%.</w:t>
            </w:r>
          </w:p>
          <w:p>
            <w:pPr>
              <w:spacing w:after="60"/>
            </w:pPr>
            <w:r>
              <w:rPr>
                <w:rFonts w:ascii="Arial" w:cs="Arial" w:eastAsia="Arial" w:hAnsi="Arial"/>
                <w:color w:val="5B6472"/>
                <w:sz w:val="17"/>
                <w:szCs w:val="17"/>
              </w:rPr>
              <w:t xml:space="preserve">Условия преференции: документ о происхождении товара и прямая поставка. </w:t>
            </w:r>
            <w:hyperlink w:history="1" r:id="rIdy1ywh9hns1uujxtkovs10">
              <w:r>
                <w:rPr>
                  <w:rFonts w:ascii="Arial" w:cs="Arial" w:eastAsia="Arial" w:hAnsi="Arial"/>
                  <w:color w:val="1F5FBF"/>
                  <w:sz w:val="17"/>
                  <w:szCs w:val="17"/>
                  <w:u w:val="single"/>
                </w:rPr>
                <w:t xml:space="preserve">Решение Совета ЕЭК от 13.01.2017 № 8</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Особые виды пошлин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Антидемпинговые, компенсационные и специальные пошлины по коду не применяются.</w:t>
            </w:r>
          </w:p>
          <w:p>
            <w:pPr>
              <w:spacing w:after="60"/>
            </w:pPr>
            <w:r>
              <w:rPr>
                <w:rFonts w:ascii="Arial" w:cs="Arial" w:eastAsia="Arial" w:hAnsi="Arial"/>
                <w:color w:val="5B6472"/>
                <w:sz w:val="17"/>
                <w:szCs w:val="17"/>
              </w:rPr>
              <w:t xml:space="preserve">Основание: Договор о Евразийском экономическом союзе от 29.05.2014, приложение № 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Акциз</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Подакцизных видов товаров по коду нет (статья 181 НК РФ).</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 при ввозе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22% — основная ставка (статья 164 НК РФ).</w:t>
            </w:r>
          </w:p>
          <w:p>
            <w:pPr>
              <w:spacing w:after="60"/>
            </w:pPr>
            <w:r>
              <w:rPr>
                <w:rFonts w:ascii="Arial" w:cs="Arial" w:eastAsia="Arial" w:hAnsi="Arial"/>
                <w:sz w:val="19"/>
                <w:szCs w:val="19"/>
              </w:rPr>
              <w:t xml:space="preserve">Без НДС — если товар отвечает наименованию перечня (</w:t>
            </w:r>
            <w:hyperlink w:history="1" r:id="rIdte7y8nwk-9917xso--t19">
              <w:r>
                <w:rPr>
                  <w:rFonts w:ascii="Arial" w:cs="Arial" w:eastAsia="Arial" w:hAnsi="Arial"/>
                  <w:color w:val="1F5FBF"/>
                  <w:sz w:val="19"/>
                  <w:szCs w:val="19"/>
                  <w:u w:val="single"/>
                </w:rPr>
                <w:t xml:space="preserve">постановление Правительства РФ от 30.09.2015 № 1042</w:t>
              </w:r>
            </w:hyperlink>
            <w:r>
              <w:rPr>
                <w:rFonts w:ascii="Arial" w:cs="Arial" w:eastAsia="Arial" w:hAnsi="Arial"/>
                <w:sz w:val="19"/>
                <w:szCs w:val="19"/>
              </w:rPr>
              <w:t xml:space="preserve">), для медицинских изделий при их регистрации:</w:t>
            </w:r>
          </w:p>
          <w:p>
            <w:pPr>
              <w:spacing w:after="60"/>
              <w:ind w:left="220" w:hanging="160"/>
            </w:pPr>
            <w:r>
              <w:rPr>
                <w:rFonts w:ascii="Arial" w:cs="Arial" w:eastAsia="Arial" w:hAnsi="Arial"/>
                <w:sz w:val="19"/>
                <w:szCs w:val="19"/>
              </w:rPr>
              <w:t xml:space="preserve">• 3208 — Специальные средства для самообслуживания и ухода за инвалидами (в том числе подушки и матрацы профилактические, противопролежневые и ортопедические, кровати медицинские с подъемными приспособлениями, фиксаторами, стулья и кресла функциональные, на колесиках, со съемными элементами, поручни,…</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Зависит от таможенной стоимости товаров в декларации (2026):</w:t>
            </w:r>
          </w:p>
          <w:p>
            <w:pPr>
              <w:spacing w:after="60"/>
              <w:ind w:left="220" w:hanging="160"/>
            </w:pPr>
            <w:r>
              <w:rPr>
                <w:rFonts w:ascii="Arial" w:cs="Arial" w:eastAsia="Arial" w:hAnsi="Arial"/>
                <w:sz w:val="19"/>
                <w:szCs w:val="19"/>
              </w:rPr>
              <w:t xml:space="preserve">• от 0 до 200 000 ₽ — 1 231 ₽</w:t>
            </w:r>
          </w:p>
          <w:p>
            <w:pPr>
              <w:spacing w:after="60"/>
              <w:ind w:left="220" w:hanging="160"/>
            </w:pPr>
            <w:r>
              <w:rPr>
                <w:rFonts w:ascii="Arial" w:cs="Arial" w:eastAsia="Arial" w:hAnsi="Arial"/>
                <w:sz w:val="19"/>
                <w:szCs w:val="19"/>
              </w:rPr>
              <w:t xml:space="preserve">• от 200 000 до 450 000 ₽ — 2 462 ₽</w:t>
            </w:r>
          </w:p>
          <w:p>
            <w:pPr>
              <w:spacing w:after="60"/>
              <w:ind w:left="220" w:hanging="160"/>
            </w:pPr>
            <w:r>
              <w:rPr>
                <w:rFonts w:ascii="Arial" w:cs="Arial" w:eastAsia="Arial" w:hAnsi="Arial"/>
                <w:sz w:val="19"/>
                <w:szCs w:val="19"/>
              </w:rPr>
              <w:t xml:space="preserve">• от 450 000 до 1 200 000 ₽ — 4 924 ₽</w:t>
            </w:r>
          </w:p>
          <w:p>
            <w:pPr>
              <w:spacing w:after="60"/>
              <w:ind w:left="220" w:hanging="160"/>
            </w:pPr>
            <w:r>
              <w:rPr>
                <w:rFonts w:ascii="Arial" w:cs="Arial" w:eastAsia="Arial" w:hAnsi="Arial"/>
                <w:sz w:val="19"/>
                <w:szCs w:val="19"/>
              </w:rPr>
              <w:t xml:space="preserve">• от 1 200 000 до 2 700 000 ₽ — 13 541 ₽</w:t>
            </w:r>
          </w:p>
          <w:p>
            <w:pPr>
              <w:spacing w:after="60"/>
              <w:ind w:left="220" w:hanging="160"/>
            </w:pPr>
            <w:r>
              <w:rPr>
                <w:rFonts w:ascii="Arial" w:cs="Arial" w:eastAsia="Arial" w:hAnsi="Arial"/>
                <w:sz w:val="19"/>
                <w:szCs w:val="19"/>
              </w:rPr>
              <w:t xml:space="preserve">• от 2 700 000 до 4 200 000 ₽ — 18 465 ₽</w:t>
            </w:r>
          </w:p>
          <w:p>
            <w:pPr>
              <w:spacing w:after="60"/>
              <w:ind w:left="220" w:hanging="160"/>
            </w:pPr>
            <w:r>
              <w:rPr>
                <w:rFonts w:ascii="Arial" w:cs="Arial" w:eastAsia="Arial" w:hAnsi="Arial"/>
                <w:sz w:val="19"/>
                <w:szCs w:val="19"/>
              </w:rPr>
              <w:t xml:space="preserve">• от 4 200 000 до 5 500 000 ₽ — 21 344 ₽</w:t>
            </w:r>
          </w:p>
          <w:p>
            <w:pPr>
              <w:spacing w:after="60"/>
              <w:ind w:left="220" w:hanging="160"/>
            </w:pPr>
            <w:r>
              <w:rPr>
                <w:rFonts w:ascii="Arial" w:cs="Arial" w:eastAsia="Arial" w:hAnsi="Arial"/>
                <w:sz w:val="19"/>
                <w:szCs w:val="19"/>
              </w:rPr>
              <w:t xml:space="preserve">• от 5 500 000 до 10 000 000 ₽ — 49 240 ₽</w:t>
            </w:r>
          </w:p>
          <w:p>
            <w:pPr>
              <w:spacing w:after="60"/>
              <w:ind w:left="220" w:hanging="160"/>
            </w:pPr>
            <w:r>
              <w:rPr>
                <w:rFonts w:ascii="Arial" w:cs="Arial" w:eastAsia="Arial" w:hAnsi="Arial"/>
                <w:sz w:val="19"/>
                <w:szCs w:val="19"/>
              </w:rPr>
              <w:t xml:space="preserve">• свыше 10 000 000 ₽ — 73 860 ₽</w:t>
            </w:r>
          </w:p>
          <w:p>
            <w:pPr>
              <w:spacing w:after="60"/>
            </w:pPr>
            <w:hyperlink w:history="1" r:id="rIdabbk1why2xqfrkx1-afl6">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Запретов и разрешительного порядка на ввоз по коду в перечнях России и ЕАЭС нет.</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Обязательная маркировка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в перечне товаров с обязательной маркировкой (</w:t>
            </w:r>
            <w:hyperlink w:history="1" r:id="rIdm01ymtc2ixtkrxxeo9owc">
              <w:r>
                <w:rPr>
                  <w:rFonts w:ascii="Arial" w:cs="Arial" w:eastAsia="Arial" w:hAnsi="Arial"/>
                  <w:color w:val="1F5FBF"/>
                  <w:sz w:val="19"/>
                  <w:szCs w:val="19"/>
                  <w:u w:val="single"/>
                </w:rPr>
                <w:t xml:space="preserve">распоряжение № 792-р</w:t>
              </w:r>
            </w:hyperlink>
            <w:r>
              <w:rPr>
                <w:rFonts w:ascii="Arial" w:cs="Arial" w:eastAsia="Arial" w:hAnsi="Arial"/>
                <w:sz w:val="19"/>
                <w:szCs w:val="19"/>
              </w:rPr>
              <w:t xml:space="preserve"> в редакции № 1765-р, № 249-р и № 956-р).</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Разрешительные документы</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Постановление № 2425 «Единый перечень продукции: сертификация и декларирование в РФ»</w:t>
            </w:r>
          </w:p>
          <w:p>
            <w:pPr>
              <w:spacing w:after="60"/>
              <w:ind w:left="220" w:hanging="160"/>
            </w:pPr>
            <w:r>
              <w:rPr>
                <w:rFonts w:ascii="Arial" w:cs="Arial" w:eastAsia="Arial" w:hAnsi="Arial"/>
                <w:sz w:val="19"/>
                <w:szCs w:val="19"/>
              </w:rPr>
              <w:t xml:space="preserve">• декларация о соответствии: Товары бытовой химии в аэрозольной упаковке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Эмали для розничной продажи (касается части товаров кода)</w:t>
            </w:r>
          </w:p>
          <w:p>
            <w:pPr>
              <w:spacing w:after="60"/>
              <w:ind w:left="220" w:hanging="160"/>
            </w:pPr>
            <w:r>
              <w:rPr>
                <w:rFonts w:ascii="Arial" w:cs="Arial" w:eastAsia="Arial" w:hAnsi="Arial"/>
                <w:sz w:val="19"/>
                <w:szCs w:val="19"/>
              </w:rPr>
              <w:t xml:space="preserve">• декларация о соответствии: Грунтовки антикоррозионные для розничной продажи (касается части товаров кода)</w:t>
            </w:r>
          </w:p>
          <w:p>
            <w:pPr>
              <w:spacing w:after="60"/>
            </w:pPr>
            <w:r>
              <w:rPr>
                <w:rFonts w:ascii="Arial" w:cs="Arial" w:eastAsia="Arial" w:hAnsi="Arial"/>
                <w:sz w:val="19"/>
                <w:szCs w:val="19"/>
              </w:rPr>
              <w:t xml:space="preserve">Свидетельство о государственной регистрации — если товар относится к категориям раздела II Единого перечня (</w:t>
            </w:r>
            <w:hyperlink w:history="1" r:id="rIdqsijtnc14oiqdhosq21gb">
              <w:r>
                <w:rPr>
                  <w:rFonts w:ascii="Arial" w:cs="Arial" w:eastAsia="Arial" w:hAnsi="Arial"/>
                  <w:color w:val="1F5FBF"/>
                  <w:sz w:val="19"/>
                  <w:szCs w:val="19"/>
                  <w:u w:val="single"/>
                </w:rPr>
                <w:t xml:space="preserve">решение Комиссии Таможенного союза от 28.05.2010 № 299</w:t>
              </w:r>
            </w:hyperlink>
            <w:r>
              <w:rPr>
                <w:rFonts w:ascii="Arial" w:cs="Arial" w:eastAsia="Arial" w:hAnsi="Arial"/>
                <w:sz w:val="19"/>
                <w:szCs w:val="19"/>
              </w:rPr>
              <w:t xml:space="preserve">: дезсредства, бытовая химия, потенциально опасные вещества, водоподготовка, гигиена для взрослых, изделия для контакта с пищей) и подходит под наименование строки:</w:t>
            </w:r>
          </w:p>
          <w:p>
            <w:pPr>
              <w:spacing w:after="60"/>
              <w:ind w:left="220" w:hanging="160"/>
            </w:pPr>
            <w:r>
              <w:rPr>
                <w:rFonts w:ascii="Arial" w:cs="Arial" w:eastAsia="Arial" w:hAnsi="Arial"/>
                <w:sz w:val="19"/>
                <w:szCs w:val="19"/>
              </w:rPr>
              <w:t xml:space="preserve">• 3208 —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растворы, указанные в примечании 4 к данной группе</w:t>
            </w:r>
          </w:p>
          <w:p>
            <w:pPr>
              <w:spacing w:after="60"/>
            </w:pPr>
            <w:r>
              <w:rPr>
                <w:rFonts w:ascii="Arial" w:cs="Arial" w:eastAsia="Arial" w:hAnsi="Arial"/>
                <w:sz w:val="19"/>
                <w:szCs w:val="19"/>
              </w:rPr>
              <w:t xml:space="preserve">Если товар является медицинским изделием, ввоз и продажа в России допускаются после государственной регистрации: в Росздравнадзоре (статья 38 Федерального закона № 323-ФЗ) или по правилам ЕАЭС (решение Совета ЕЭК от 12.02.2016 № 46).</w:t>
            </w:r>
          </w:p>
          <w:p>
            <w:pPr>
              <w:spacing w:after="60"/>
            </w:pPr>
            <w:r>
              <w:rPr>
                <w:rFonts w:ascii="Arial" w:cs="Arial" w:eastAsia="Arial" w:hAnsi="Arial"/>
                <w:color w:val="5B6472"/>
                <w:sz w:val="17"/>
                <w:szCs w:val="17"/>
              </w:rPr>
              <w:t xml:space="preserve">На практике по субпозиции 3208 10 действует сертификатов: 1, деклараций: 18; чаще по </w:t>
            </w:r>
            <w:hyperlink w:history="1" r:id="rId5rrzfgnsn6d_dvj33s8oy">
              <w:r>
                <w:rPr>
                  <w:rFonts w:ascii="Arial" w:cs="Arial" w:eastAsia="Arial" w:hAnsi="Arial"/>
                  <w:color w:val="1F5FBF"/>
                  <w:sz w:val="17"/>
                  <w:szCs w:val="17"/>
                  <w:u w:val="single"/>
                </w:rPr>
                <w:t xml:space="preserve">ТР ТС 014/2011</w:t>
              </w:r>
            </w:hyperlink>
            <w:r>
              <w:rPr>
                <w:rFonts w:ascii="Arial" w:cs="Arial" w:eastAsia="Arial" w:hAnsi="Arial"/>
                <w:color w:val="5B6472"/>
                <w:sz w:val="17"/>
                <w:szCs w:val="17"/>
              </w:rPr>
              <w:t xml:space="preserve">, </w:t>
            </w:r>
            <w:hyperlink w:history="1" r:id="rId-juglnvlnqy2gizlr3ass">
              <w:r>
                <w:rPr>
                  <w:rFonts w:ascii="Arial" w:cs="Arial" w:eastAsia="Arial" w:hAnsi="Arial"/>
                  <w:color w:val="1F5FBF"/>
                  <w:sz w:val="17"/>
                  <w:szCs w:val="17"/>
                  <w:u w:val="single"/>
                </w:rPr>
                <w:t xml:space="preserve">ТР ТС 009/2011</w:t>
              </w:r>
            </w:hyperlink>
            <w:r>
              <w:rPr>
                <w:rFonts w:ascii="Arial" w:cs="Arial" w:eastAsia="Arial" w:hAnsi="Arial"/>
                <w:color w:val="5B6472"/>
                <w:sz w:val="17"/>
                <w:szCs w:val="17"/>
              </w:rPr>
              <w:t xml:space="preserve">, </w:t>
            </w:r>
            <w:hyperlink w:history="1" r:id="rIdqa3u_orbxped2qcmek-6o">
              <w:r>
                <w:rPr>
                  <w:rFonts w:ascii="Arial" w:cs="Arial" w:eastAsia="Arial" w:hAnsi="Arial"/>
                  <w:color w:val="1F5FBF"/>
                  <w:sz w:val="17"/>
                  <w:szCs w:val="17"/>
                  <w:u w:val="single"/>
                </w:rPr>
                <w:t xml:space="preserve">ТР ТС 010/2011</w:t>
              </w:r>
            </w:hyperlink>
            <w:r>
              <w:rPr>
                <w:rFonts w:ascii="Arial" w:cs="Arial" w:eastAsia="Arial" w:hAnsi="Arial"/>
                <w:color w:val="5B6472"/>
                <w:sz w:val="17"/>
                <w:szCs w:val="17"/>
              </w:rPr>
              <w:t xml:space="preserve">.</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фитосанитарный и санитарный контроль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Санитарно-эпидемиологический надзор (контроль) (в перечне названа вся группа: касается товаров с этим наименованием): Пищевые продукты (продукты в натуральном или переработанном виде, употребляемые человеком в пищу), в том числе полученные с использованием генно-инженерно-модифицированных (трансгенных) организмов; Продукция (товары) для детей: игры и игрушки, постельное белье, одежда, обувь, учебные пособия, мебель, коляски, сумки (ранцы, рюкзаки, портфели и т. п.), дневники и аналогичные изделия, тетради,…</w:t>
            </w:r>
          </w:p>
          <w:p>
            <w:pPr>
              <w:spacing w:after="60"/>
            </w:pPr>
            <w:hyperlink w:history="1" r:id="rIdi-ecjgnl5bjwim0mhkkoq">
              <w:r>
                <w:rPr>
                  <w:rFonts w:ascii="Arial" w:cs="Arial" w:eastAsia="Arial" w:hAnsi="Arial"/>
                  <w:color w:val="1F5FBF"/>
                  <w:sz w:val="17"/>
                  <w:szCs w:val="17"/>
                  <w:u w:val="single"/>
                </w:rPr>
                <w:t xml:space="preserve">Решение Коллегии Евразийской экономической комиссии от 17.09.2019 № 154</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Прочие особенности</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Деревянная упаковка и крепёжный материал (поддоны, ящики, прокладки) должны иметь маркировку по международному стандарту МСФМ № 15 (Единые карантинные фитосанитарные требования, решение Совета ЕЭК от 30.11.2016 № 157).</w:t>
            </w:r>
          </w:p>
          <w:p>
            <w:pPr>
              <w:spacing w:after="60"/>
              <w:ind w:left="220" w:hanging="160"/>
            </w:pPr>
            <w:r>
              <w:rPr>
                <w:rFonts w:ascii="Arial" w:cs="Arial" w:eastAsia="Arial" w:hAnsi="Arial"/>
                <w:sz w:val="19"/>
                <w:szCs w:val="19"/>
              </w:rPr>
              <w:t xml:space="preserve">• Если на товаре есть товарный знак, проверьте его в таможенном реестре объектов интеллектуальной собственности: выпуск товара со знаком из реестра могут приостановить до подтверждения прав. Поиск по реестру: https://imexp.ru/tools/proverka-tovara?tab=trois</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h_y-anrf0k_ecijb7nrr5">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декларировать</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 графе 31 (краски и лаки (включая эмали и политуры) на основе синтетических полимеров или химически модифицированных природных полимеров, диспергированные или растворенные в неводной среде): группа лакокрасочных материалов (например, лак, краска); область применения (например, для строительства и ремонта, для автомобилей, для разметки дорог, по металлу с антикоррозийными свойствами, со специальными свойствами); смола-основа (например, алкидная, акриловая, полиуретановая, эпоксидная, хлорвиниловая, меламино-формальдегидная, полиэфирцеллюлозная, алкидно-уретановая)</w:t>
            </w:r>
          </w:p>
          <w:p>
            <w:pPr>
              <w:spacing w:after="60"/>
            </w:pPr>
            <w:hyperlink w:history="1" r:id="rIdy7jlnnhejtowp8hg1jrsw">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перечень сведений к графе 31</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3208101000</w:t>
            </w:r>
          </w:p>
          <w:p>
            <w:pPr>
              <w:spacing w:after="60"/>
              <w:ind w:left="220" w:hanging="160"/>
            </w:pPr>
            <w:r>
              <w:rPr>
                <w:rFonts w:ascii="Arial" w:cs="Arial" w:eastAsia="Arial" w:hAnsi="Arial"/>
                <w:sz w:val="19"/>
                <w:szCs w:val="19"/>
              </w:rPr>
              <w:t xml:space="preserve">• С — во втором подразделе, если товар по характеристикам не подпадает под запреты и ограничения, которые применяются к коду</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36 · Преференция</w:t>
            </w:r>
          </w:p>
          <w:p>
            <w:pPr>
              <w:spacing w:after="60"/>
              <w:ind w:left="220" w:hanging="160"/>
            </w:pPr>
            <w:r>
              <w:rPr>
                <w:rFonts w:ascii="Arial" w:cs="Arial" w:eastAsia="Arial" w:hAnsi="Arial"/>
                <w:sz w:val="19"/>
                <w:szCs w:val="19"/>
              </w:rPr>
              <w:t xml:space="preserve">• ОООО-ОО — Сборы, пошлина, акциз, НДС: льготы не запрашиваются, акциза нет (прочерк)</w:t>
            </w:r>
          </w:p>
          <w:p>
            <w:pPr>
              <w:spacing w:after="60"/>
              <w:ind w:left="220" w:hanging="160"/>
            </w:pPr>
            <w:r>
              <w:rPr>
                <w:rFonts w:ascii="Arial" w:cs="Arial" w:eastAsia="Arial" w:hAnsi="Arial"/>
                <w:sz w:val="19"/>
                <w:szCs w:val="19"/>
              </w:rPr>
              <w:t xml:space="preserve">• ООГГ-ОО — Тарифная преференция в отношении товаров, происходящих из развивающихся стран · если товар происходит из развивающейся страны и происхождение подтверждено</w:t>
            </w:r>
          </w:p>
          <w:p>
            <w:pPr>
              <w:spacing w:after="60"/>
              <w:ind w:left="220" w:hanging="160"/>
            </w:pPr>
            <w:r>
              <w:rPr>
                <w:rFonts w:ascii="Arial" w:cs="Arial" w:eastAsia="Arial" w:hAnsi="Arial"/>
                <w:sz w:val="19"/>
                <w:szCs w:val="19"/>
              </w:rPr>
              <w:t xml:space="preserve">• ООНН-ОО — Тарифная преференция в отношении товаров, происходящих из наименее развитых стран · если товар происходит из наименее развитой страны и происхождение подтверждено</w:t>
            </w:r>
          </w:p>
          <w:p>
            <w:pPr>
              <w:spacing w:after="60"/>
              <w:ind w:left="220" w:hanging="160"/>
            </w:pPr>
            <w:r>
              <w:rPr>
                <w:rFonts w:ascii="Arial" w:cs="Arial" w:eastAsia="Arial" w:hAnsi="Arial"/>
                <w:sz w:val="19"/>
                <w:szCs w:val="19"/>
              </w:rPr>
              <w:t xml:space="preserve">• ОООО-ГГ — Освобождение от уплаты НДС в отношении ввозимых в Российскую Федерацию технических средств, включая автомототранспорт, материалов, которые могут быть использованы исключительно для профилактики инвалидности или реабилитации инвалидов · если товар отвечает наименованию перечня освобождения от НДС (постановление № 1042)</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01408 — Документ об оценке соответствия, предусмотренный законодательством государства – члена Евразийского экономического союза, на территории которого продукция (товар) помещается под таможенные процедуры · Постановление № 2425</w:t>
            </w:r>
          </w:p>
          <w:p>
            <w:pPr>
              <w:spacing w:after="60"/>
              <w:ind w:left="220" w:hanging="160"/>
            </w:pPr>
            <w:r>
              <w:rPr>
                <w:rFonts w:ascii="Arial" w:cs="Arial" w:eastAsia="Arial" w:hAnsi="Arial"/>
                <w:sz w:val="19"/>
                <w:szCs w:val="19"/>
              </w:rPr>
              <w:t xml:space="preserve">• 01206 — Свидетельство о государственной регистрации, выданное уполномоченным органом государства–члена Евразийского экономического союза в области санитарно-эпидемиологического благополучия населения · </w:t>
            </w:r>
            <w:hyperlink w:history="1" r:id="rIddj9tffhpfutcowjmwhy2l">
              <w:r>
                <w:rPr>
                  <w:rFonts w:ascii="Arial" w:cs="Arial" w:eastAsia="Arial" w:hAnsi="Arial"/>
                  <w:color w:val="1F5FBF"/>
                  <w:sz w:val="19"/>
                  <w:szCs w:val="19"/>
                  <w:u w:val="single"/>
                </w:rPr>
                <w:t xml:space="preserve">Решение Комиссии Таможенного союза № 299</w:t>
              </w:r>
            </w:hyperlink>
            <w:r>
              <w:rPr>
                <w:rFonts w:ascii="Arial" w:cs="Arial" w:eastAsia="Arial" w:hAnsi="Arial"/>
                <w:sz w:val="19"/>
                <w:szCs w:val="19"/>
              </w:rPr>
              <w:t xml:space="preserve">, раздел II</w:t>
            </w:r>
          </w:p>
          <w:p>
            <w:pPr>
              <w:spacing w:after="60"/>
              <w:ind w:left="220" w:hanging="160"/>
            </w:pPr>
            <w:r>
              <w:rPr>
                <w:rFonts w:ascii="Arial" w:cs="Arial" w:eastAsia="Arial" w:hAnsi="Arial"/>
                <w:sz w:val="19"/>
                <w:szCs w:val="19"/>
              </w:rPr>
              <w:t xml:space="preserve">• 06013 — Сертификат о происхождении товара формы "А" · если товар ввозится с тарифной преференцией</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ind w:left="220" w:hanging="160"/>
            </w:pPr>
            <w:r>
              <w:rPr>
                <w:rFonts w:ascii="Arial" w:cs="Arial" w:eastAsia="Arial" w:hAnsi="Arial"/>
                <w:sz w:val="19"/>
                <w:szCs w:val="19"/>
              </w:rPr>
              <w:t xml:space="preserve">• 2010 — Ввозная таможенная пошлина (иные пошлины, налоги и сборы, имеющие эквивалентное действие), обязанность по уплате которой возникла с 1 сентября 2010 г.</w:t>
            </w:r>
          </w:p>
          <w:p>
            <w:pPr>
              <w:spacing w:after="60"/>
              <w:ind w:left="220" w:hanging="160"/>
            </w:pPr>
            <w:r>
              <w:rPr>
                <w:rFonts w:ascii="Arial" w:cs="Arial" w:eastAsia="Arial" w:hAnsi="Arial"/>
                <w:sz w:val="19"/>
                <w:szCs w:val="19"/>
              </w:rPr>
              <w:t xml:space="preserve">• 5010 — Налог на добавленную стоимость</w:t>
            </w:r>
          </w:p>
          <w:p>
            <w:pPr>
              <w:spacing w:after="60"/>
            </w:pPr>
            <w:r>
              <w:rPr>
                <w:rFonts w:ascii="Arial" w:cs="Arial" w:eastAsia="Arial" w:hAnsi="Arial"/>
                <w:color w:val="5B6472"/>
                <w:sz w:val="17"/>
                <w:szCs w:val="17"/>
              </w:rPr>
              <w:t xml:space="preserve">Основание: </w:t>
            </w:r>
            <w:hyperlink w:history="1" r:id="rIdunr16uqqliv_ndhppoxwl">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8xzv1cziwvplh5p4cq4zg">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ii_owuklw4o-t8ilhw5ik">
              <w:r>
                <w:rPr>
                  <w:rFonts w:ascii="Arial" w:cs="Arial" w:eastAsia="Arial" w:hAnsi="Arial"/>
                  <w:color w:val="1F5FBF"/>
                  <w:sz w:val="19"/>
                  <w:szCs w:val="19"/>
                  <w:u w:val="single"/>
                </w:rPr>
                <w:t xml:space="preserve">Решение Коллегии ЕЭК № 113 от 25.08.2026</w:t>
              </w:r>
            </w:hyperlink>
            <w:r>
              <w:rPr>
                <w:rFonts w:ascii="Arial" w:cs="Arial" w:eastAsia="Arial" w:hAnsi="Arial"/>
                <w:sz w:val="19"/>
                <w:szCs w:val="19"/>
              </w:rPr>
              <w:t xml:space="preserve"> — О применении ставок ввозных таможенных пошлин в отношении товаров, происходящих из Объединенных Арабских Эмиратов и ввозимых на таможенную территорию Евразийского экономического союза (вступило в силу 06.10.2026)</w:t>
            </w:r>
          </w:p>
          <w:p>
            <w:pPr>
              <w:spacing w:after="60"/>
              <w:ind w:left="220" w:hanging="160"/>
            </w:pPr>
            <w:r>
              <w:rPr>
                <w:rFonts w:ascii="Arial" w:cs="Arial" w:eastAsia="Arial" w:hAnsi="Arial"/>
                <w:sz w:val="19"/>
                <w:szCs w:val="19"/>
              </w:rPr>
              <w:t xml:space="preserve">• </w:t>
            </w:r>
            <w:hyperlink w:history="1" r:id="rIdcry7cqdfgqrhwdxuivrmz">
              <w:r>
                <w:rPr>
                  <w:rFonts w:ascii="Arial" w:cs="Arial" w:eastAsia="Arial" w:hAnsi="Arial"/>
                  <w:color w:val="1F5FBF"/>
                  <w:sz w:val="19"/>
                  <w:szCs w:val="19"/>
                  <w:u w:val="single"/>
                </w:rPr>
                <w:t xml:space="preserve">Решение Коллегии ЕЭК № 10 от 22.01.2019</w:t>
              </w:r>
            </w:hyperlink>
            <w:r>
              <w:rPr>
                <w:rFonts w:ascii="Arial" w:cs="Arial" w:eastAsia="Arial" w:hAnsi="Arial"/>
                <w:sz w:val="19"/>
                <w:szCs w:val="19"/>
              </w:rPr>
              <w:t xml:space="preserve"> — О преференциальных ставках ввозных таможенных пошлин в отношении товаров, происходящих из Исламской Республики Иран и ввозимых на таможенную территорию Евразийского экономического союза (вступило в силу 27.10.2019)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20.30.12 — Материалы лакокрасочные на основе сложных полиэфиров, акриловых или виниловых полимеров в неводной среде; растворы</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https://imexp.ru/katalog/kod/3208101000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v74lugrr0j7byf2xkc4m" Type="http://schemas.openxmlformats.org/officeDocument/2006/relationships/hyperlink" Target="https://docs.eaeunion.org/documents/386/6099/" TargetMode="External"/><Relationship Id="rId77izorqbzd0w-voopjlkl" Type="http://schemas.openxmlformats.org/officeDocument/2006/relationships/hyperlink" Target="https://docs.eaeunion.org/documents/386/6099/" TargetMode="External"/><Relationship Id="rId4pddg64dvmlnw02ea2gwf" Type="http://schemas.openxmlformats.org/officeDocument/2006/relationships/hyperlink" Target="http://publication.pravo.gov.ru/document/0001202203140039" TargetMode="External"/><Relationship Id="rIdfahgd4rkfiahsyu649pyj" Type="http://schemas.openxmlformats.org/officeDocument/2006/relationships/hyperlink" Target="https://docs.eaeunion.org/documents/211/8993/" TargetMode="External"/><Relationship Id="rIdsa1haox2zia4-27qwkht9" Type="http://schemas.openxmlformats.org/officeDocument/2006/relationships/hyperlink" Target="https://docs.eaeunion.org/documents/335/4666/" TargetMode="External"/><Relationship Id="rId6glir4evy1gtrb-x7gbjb" Type="http://schemas.openxmlformats.org/officeDocument/2006/relationships/hyperlink" Target="http://publication.pravo.gov.ru/document/0001202308040119" TargetMode="External"/><Relationship Id="rIdetoadv7ugosgqyd04e2qq" Type="http://schemas.openxmlformats.org/officeDocument/2006/relationships/hyperlink" Target="https://eur-lex.europa.eu/eli/reg/2014/833/oj/eng" TargetMode="External"/><Relationship Id="rIdizle5ss6-bu3ewmgkrlfx" Type="http://schemas.openxmlformats.org/officeDocument/2006/relationships/hyperlink" Target="https://www.legislation.gov.uk/uksi/2019/855/contents" TargetMode="External"/><Relationship Id="rIdb5x61iranxogvgnlbqozw" Type="http://schemas.openxmlformats.org/officeDocument/2006/relationships/hyperlink" Target="https://www.ecfr.gov/current/title-15/subtitle-B/chapter-VII/subchapter-C/part-746" TargetMode="External"/><Relationship Id="rIdvreltoztlmu5s25n3dysl" Type="http://schemas.openxmlformats.org/officeDocument/2006/relationships/hyperlink" Target="http://publication.pravo.gov.ru/document/0001202308040119" TargetMode="External"/><Relationship Id="rIdpajsllnlifpotzfxjzy5d" Type="http://schemas.openxmlformats.org/officeDocument/2006/relationships/hyperlink" Target="https://docs.eaeunion.org/documents/386/6099/" TargetMode="External"/><Relationship Id="rIdy1ywh9hns1uujxtkovs10" Type="http://schemas.openxmlformats.org/officeDocument/2006/relationships/hyperlink" Target="https://docs.eaeunion.org/documents/317/2804/" TargetMode="External"/><Relationship Id="rIdte7y8nwk-9917xso--t19" Type="http://schemas.openxmlformats.org/officeDocument/2006/relationships/hyperlink" Target="http://publication.pravo.gov.ru/document/0001201510050001" TargetMode="External"/><Relationship Id="rIdabbk1why2xqfrkx1-afl6" Type="http://schemas.openxmlformats.org/officeDocument/2006/relationships/hyperlink" Target="http://publication.pravo.gov.ru/document/0001202411290098" TargetMode="External"/><Relationship Id="rIdm01ymtc2ixtkrxxeo9owc" Type="http://schemas.openxmlformats.org/officeDocument/2006/relationships/hyperlink" Target="http://publication.pravo.gov.ru/document/0001201805040007" TargetMode="External"/><Relationship Id="rIdqsijtnc14oiqdhosq21gb" Type="http://schemas.openxmlformats.org/officeDocument/2006/relationships/hyperlink" Target="https://docs.eaeunion.org/documents/211/8993/" TargetMode="External"/><Relationship Id="rId5rrzfgnsn6d_dvj33s8oy" Type="http://schemas.openxmlformats.org/officeDocument/2006/relationships/hyperlink" Target="https://eec.eaeunion.org/comission/department/deptexreg/tr/bezopAutodorog.php" TargetMode="External"/><Relationship Id="rId-juglnvlnqy2gizlr3ass" Type="http://schemas.openxmlformats.org/officeDocument/2006/relationships/hyperlink" Target="https://eec.eaeunion.org/comission/department/deptexreg/tr/bezopParfum.php" TargetMode="External"/><Relationship Id="rIdqa3u_orbxped2qcmek-6o" Type="http://schemas.openxmlformats.org/officeDocument/2006/relationships/hyperlink" Target="https://eec.eaeunion.org/comission/department/deptexreg/tr/bezopMashines.php" TargetMode="External"/><Relationship Id="rIdi-ecjgnl5bjwim0mhkkoq" Type="http://schemas.openxmlformats.org/officeDocument/2006/relationships/hyperlink" Target="https://docs.eaeunion.org/documents/335/4666/" TargetMode="External"/><Relationship Id="rIdh_y-anrf0k_ecijb7nrr5" Type="http://schemas.openxmlformats.org/officeDocument/2006/relationships/hyperlink" Target="http://publication.pravo.gov.ru/document/0001202207190026" TargetMode="External"/><Relationship Id="rIdy7jlnnhejtowp8hg1jrsw" Type="http://schemas.openxmlformats.org/officeDocument/2006/relationships/hyperlink" Target="https://docs.eaeunion.org/documents/214/946/" TargetMode="External"/><Relationship Id="rIddj9tffhpfutcowjmwhy2l" Type="http://schemas.openxmlformats.org/officeDocument/2006/relationships/hyperlink" Target="https://docs.eaeunion.org/documents/211/8993/" TargetMode="External"/><Relationship Id="rIdunr16uqqliv_ndhppoxwl" Type="http://schemas.openxmlformats.org/officeDocument/2006/relationships/hyperlink" Target="https://docs.eaeunion.org/documents/214/946/" TargetMode="External"/><Relationship Id="rId8xzv1cziwvplh5p4cq4zg" Type="http://schemas.openxmlformats.org/officeDocument/2006/relationships/hyperlink" Target="https://docs.eaeunion.org/documents/208/8939/" TargetMode="External"/><Relationship Id="rIdii_owuklw4o-t8ilhw5ik" Type="http://schemas.openxmlformats.org/officeDocument/2006/relationships/hyperlink" Target="https://docs.eaeunion.org/documents/463/10896/" TargetMode="External"/><Relationship Id="rIdcry7cqdfgqrhwdxuivrmz" Type="http://schemas.openxmlformats.org/officeDocument/2006/relationships/hyperlink" Target="https://docs.eaeunion.org/documents/335/4159/" TargetMode="External"/><Relationship Id="rId3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3208 10 100 0</dc:title>
  <dc:creator>IMEXP</dc:creator>
  <cp:lastModifiedBy>Un-named</cp:lastModifiedBy>
  <cp:revision>1</cp:revision>
  <dcterms:created xsi:type="dcterms:W3CDTF">2026-10-28T00:41:50.490Z</dcterms:created>
  <dcterms:modified xsi:type="dcterms:W3CDTF">2026-10-28T00:41:50.490Z</dcterms:modified>
</cp:coreProperties>
</file>

<file path=docProps/custom.xml><?xml version="1.0" encoding="utf-8"?>
<Properties xmlns="http://schemas.openxmlformats.org/officeDocument/2006/custom-properties" xmlns:vt="http://schemas.openxmlformats.org/officeDocument/2006/docPropsVTypes"/>
</file>