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3208 20 900 1</w:t>
      </w:r>
    </w:p>
    <w:p>
      <w:pPr>
        <w:spacing w:after="200"/>
      </w:pPr>
      <w:r>
        <w:rPr>
          <w:rFonts w:ascii="Arial" w:cs="Arial" w:eastAsia="Arial" w:hAnsi="Arial"/>
          <w:color w:val="5B6472"/>
          <w:sz w:val="19"/>
          <w:szCs w:val="19"/>
        </w:rPr>
        <w:t xml:space="preserve">Сведения на 27.10.2026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 Продукция химической и связанных с ней отраслей промышленности</w:t>
            </w:r>
          </w:p>
          <w:p>
            <w:pPr>
              <w:spacing w:after="60"/>
            </w:pPr>
            <w:r>
              <w:rPr>
                <w:rFonts w:ascii="Arial" w:cs="Arial" w:eastAsia="Arial" w:hAnsi="Arial"/>
                <w:color w:val="5B6472"/>
                <w:sz w:val="17"/>
                <w:szCs w:val="17"/>
              </w:rPr>
              <w:t xml:space="preserve">32 — ЭКСТРАКТЫ ДУБИЛЬНЫЕ ИЛИ КРАСИЛЬНЫЕ; ТАННИНЫ И ИХ ПРОИЗВОДНЫЕ; КРАСИТЕЛИ, ПИГМЕНТЫ И ПРОЧИЕ КРАСЯЩИЕ ВЕЩЕСТВА; КРАСКИ И ЛАКИ; ШПАТЛЕВКИ И ПРОЧИЕ МАСТИКИ; ПОЛИГРАФИЧЕСКАЯ КРАСКА, ЧЕРНИЛА, ТУШЬ</w:t>
            </w:r>
          </w:p>
          <w:p>
            <w:pPr>
              <w:spacing w:after="60"/>
            </w:pPr>
            <w:r>
              <w:rPr>
                <w:rFonts w:ascii="Arial" w:cs="Arial" w:eastAsia="Arial" w:hAnsi="Arial"/>
                <w:color w:val="5B6472"/>
                <w:sz w:val="17"/>
                <w:szCs w:val="17"/>
              </w:rPr>
              <w:t xml:space="preserve">3208 — Краски и лаки (включая эмали и политуры) на основе синтетических полимеров или химически модифицированных природных полимеров, диспергированные или растворенные в неводной среде; растворы, указанные в примечании 4 к данной группе</w:t>
            </w:r>
          </w:p>
          <w:p>
            <w:pPr>
              <w:spacing w:after="60"/>
            </w:pPr>
            <w:r>
              <w:rPr>
                <w:rFonts w:ascii="Arial" w:cs="Arial" w:eastAsia="Arial" w:hAnsi="Arial"/>
                <w:color w:val="5B6472"/>
                <w:sz w:val="17"/>
                <w:szCs w:val="17"/>
              </w:rPr>
              <w:t xml:space="preserve">3208 20 — На основе акриловых или виниловых полимеров</w:t>
            </w:r>
          </w:p>
          <w:p>
            <w:pPr>
              <w:spacing w:after="60"/>
            </w:pPr>
            <w:r>
              <w:rPr>
                <w:rFonts w:ascii="Arial" w:cs="Arial" w:eastAsia="Arial" w:hAnsi="Arial"/>
                <w:color w:val="5B6472"/>
                <w:sz w:val="17"/>
                <w:szCs w:val="17"/>
              </w:rPr>
              <w:t xml:space="preserve">3208 20 90 — На основе акриловых или виниловых полимеров: прочие</w:t>
            </w:r>
          </w:p>
          <w:p>
            <w:pPr>
              <w:spacing w:after="60"/>
            </w:pPr>
            <w:r>
              <w:rPr>
                <w:rFonts w:ascii="Arial" w:cs="Arial" w:eastAsia="Arial" w:hAnsi="Arial"/>
                <w:b/>
                <w:bCs/>
                <w:sz w:val="19"/>
                <w:szCs w:val="19"/>
              </w:rPr>
              <w:t xml:space="preserve">3208 20 900 1 — На основе акриловых или виниловых полимеров: прочие: для промышленной сборки моторных транспортных средств товарных позиций 8701 – 8705, их узлов и агрегатов (примечание 5 к ЕТТ)</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novovu-vpq65vce1_ybze">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9rpzdentpkdvnws7x_1pp">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 Постановление № 2425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mimw3t3bplwe4lfnt0jsn">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Свидетельство о госрегистрации (СГР) — </w:t>
            </w:r>
            <w:hyperlink w:history="1" r:id="rIdcdwahe6ubo-hez-kce5or">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 (если товар относится к этому виду)</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alefyez4bret2tbkkdzb">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Регистрационное удостоверение медизделия — Федеральный закон № 323-ФЗ, статья 38 (если товар относится к этому виду)</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bcf9jq40tdepi-qbm1tqq">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25 и 27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4hd3uqqwtvqvkuhm8zijx">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mp00ahhqbmdvt7ofifsw7">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_1acjunerosogrlsxkl4x">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b3ivooxijbhdbtn_3w4ep">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25 (32): ACURA, ALFA ROMEO, AUDI, BENTLEY, BMW, CADILLAC, CHEVROLET, CHRYSLER, DAEWOO, DAIHATSU, DATSUN, DODGE, FERRARI, FIAT, GENERAL MOTORS (GM), GMC, HEMPEL, HENKEL, HONDA, HUMMER, INFINITI, JAGUAR, JEEP, JOTUN, KCC, LAND ROVER, LEXUS, LINCOLN, LOCTITE, MASERATI,…</w:t>
            </w:r>
          </w:p>
          <w:p>
            <w:pPr>
              <w:spacing w:after="60"/>
              <w:ind w:left="220" w:hanging="160"/>
            </w:pPr>
            <w:r>
              <w:rPr>
                <w:rFonts w:ascii="Arial" w:cs="Arial" w:eastAsia="Arial" w:hAnsi="Arial"/>
                <w:sz w:val="19"/>
                <w:szCs w:val="19"/>
              </w:rPr>
              <w:t xml:space="preserve">• Пункт 27 (3208): FLINT GROUP, SIEGWERK</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для ввоза в Россию по Единому таможенному тарифу ЕАЭС</w:t>
            </w:r>
          </w:p>
          <w:p>
            <w:pPr>
              <w:spacing w:after="60"/>
            </w:pPr>
            <w:r>
              <w:rPr>
                <w:rFonts w:ascii="Arial" w:cs="Arial" w:eastAsia="Arial" w:hAnsi="Arial"/>
                <w:color w:val="5B6472"/>
                <w:sz w:val="17"/>
                <w:szCs w:val="17"/>
              </w:rPr>
              <w:t xml:space="preserve">ЕТТ ЕАЭС в редакции </w:t>
            </w:r>
            <w:hyperlink w:history="1" r:id="rIdewc64gvubbwqe9a-k-pmc">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pPr>
            <w:r>
              <w:rPr>
                <w:rFonts w:ascii="Arial" w:cs="Arial" w:eastAsia="Arial" w:hAnsi="Arial"/>
                <w:sz w:val="19"/>
                <w:szCs w:val="19"/>
              </w:rPr>
              <w:t xml:space="preserve">Это ставка для ввоза в Россию (сноска 9С) к тарифу). В остальных странах ЕАЭС по этому коду действует ставка ЕТТ 0%.</w:t>
            </w:r>
          </w:p>
          <w:p>
            <w:pPr>
              <w:spacing w:after="60"/>
              <w:ind w:left="220" w:hanging="160"/>
            </w:pPr>
            <w:r>
              <w:rPr>
                <w:rFonts w:ascii="Arial" w:cs="Arial" w:eastAsia="Arial" w:hAnsi="Arial"/>
                <w:sz w:val="19"/>
                <w:szCs w:val="19"/>
              </w:rPr>
              <w:t xml:space="preserve">• Товар из развивающихся стран (33): преференция, 75% ставки ЕТТ (3,75%).</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iylt2tytsawkzstjhk2pb">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p>
            <w:pPr>
              <w:spacing w:after="60"/>
            </w:pPr>
            <w:r>
              <w:rPr>
                <w:rFonts w:ascii="Arial" w:cs="Arial" w:eastAsia="Arial" w:hAnsi="Arial"/>
                <w:sz w:val="19"/>
                <w:szCs w:val="19"/>
              </w:rPr>
              <w:t xml:space="preserve">Без НДС — если товар отвечает наименованию перечня (</w:t>
            </w:r>
            <w:hyperlink w:history="1" r:id="rIdgedfm9oj8cmvyow8czzbh">
              <w:r>
                <w:rPr>
                  <w:rFonts w:ascii="Arial" w:cs="Arial" w:eastAsia="Arial" w:hAnsi="Arial"/>
                  <w:color w:val="1F5FBF"/>
                  <w:sz w:val="19"/>
                  <w:szCs w:val="19"/>
                  <w:u w:val="single"/>
                </w:rPr>
                <w:t xml:space="preserve">постановление Правительства РФ от 30.09.2015 № 1042</w:t>
              </w:r>
            </w:hyperlink>
            <w:r>
              <w:rPr>
                <w:rFonts w:ascii="Arial" w:cs="Arial" w:eastAsia="Arial" w:hAnsi="Arial"/>
                <w:sz w:val="19"/>
                <w:szCs w:val="19"/>
              </w:rPr>
              <w:t xml:space="preserve">), для медицинских изделий при их регистрации:</w:t>
            </w:r>
          </w:p>
          <w:p>
            <w:pPr>
              <w:spacing w:after="60"/>
              <w:ind w:left="220" w:hanging="160"/>
            </w:pPr>
            <w:r>
              <w:rPr>
                <w:rFonts w:ascii="Arial" w:cs="Arial" w:eastAsia="Arial" w:hAnsi="Arial"/>
                <w:sz w:val="19"/>
                <w:szCs w:val="19"/>
              </w:rPr>
              <w:t xml:space="preserve">• 3208 — Специальные средства для самообслуживания и ухода за инвалидами (в том числе подушки и матрацы профилактические, противопролежневые и ортопедические, кровати медицинские с подъемными приспособлениями, фиксаторами, стулья и кресла функциональные, на колесиках, со съемными элементами, поручни,…</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vt9k3iyuommcwxdavmwbl">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czfhdjqoumlxhilr2jedr">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Постановление № 2425 «Единый перечень продукции: сертификация и декларирование в РФ»</w:t>
            </w:r>
          </w:p>
          <w:p>
            <w:pPr>
              <w:spacing w:after="60"/>
              <w:ind w:left="220" w:hanging="160"/>
            </w:pPr>
            <w:r>
              <w:rPr>
                <w:rFonts w:ascii="Arial" w:cs="Arial" w:eastAsia="Arial" w:hAnsi="Arial"/>
                <w:sz w:val="19"/>
                <w:szCs w:val="19"/>
              </w:rPr>
              <w:t xml:space="preserve">• декларация о соответствии: Товары бытовой химии в аэрозольной упаковке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Эмали для розничной продажи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Грунтовки антикоррозионные для розничной продажи (касается части товаров кода)</w:t>
            </w:r>
          </w:p>
          <w:p>
            <w:pPr>
              <w:spacing w:after="60"/>
            </w:pPr>
            <w:r>
              <w:rPr>
                <w:rFonts w:ascii="Arial" w:cs="Arial" w:eastAsia="Arial" w:hAnsi="Arial"/>
                <w:sz w:val="19"/>
                <w:szCs w:val="19"/>
              </w:rPr>
              <w:t xml:space="preserve">Свидетельство о государственной регистрации — если товар относится к категориям раздела II Единого перечня (</w:t>
            </w:r>
            <w:hyperlink w:history="1" r:id="rIdisco2v9nsdcojqyzfjq38">
              <w:r>
                <w:rPr>
                  <w:rFonts w:ascii="Arial" w:cs="Arial" w:eastAsia="Arial" w:hAnsi="Arial"/>
                  <w:color w:val="1F5FBF"/>
                  <w:sz w:val="19"/>
                  <w:szCs w:val="19"/>
                  <w:u w:val="single"/>
                </w:rPr>
                <w:t xml:space="preserve">решение Комиссии Таможенного союза от 28.05.2010 № 299</w:t>
              </w:r>
            </w:hyperlink>
            <w:r>
              <w:rPr>
                <w:rFonts w:ascii="Arial" w:cs="Arial" w:eastAsia="Arial" w:hAnsi="Arial"/>
                <w:sz w:val="19"/>
                <w:szCs w:val="19"/>
              </w:rPr>
              <w:t xml:space="preserve">: дезсредства, бытовая химия, потенциально опасные вещества, водоподготовка, гигиена для взрослых, изделия для контакта с пищей) и подходит под наименование строки:</w:t>
            </w:r>
          </w:p>
          <w:p>
            <w:pPr>
              <w:spacing w:after="60"/>
              <w:ind w:left="220" w:hanging="160"/>
            </w:pPr>
            <w:r>
              <w:rPr>
                <w:rFonts w:ascii="Arial" w:cs="Arial" w:eastAsia="Arial" w:hAnsi="Arial"/>
                <w:sz w:val="19"/>
                <w:szCs w:val="19"/>
              </w:rPr>
              <w:t xml:space="preserve">• 3208 — Краски и лаки (включая эмали и политуры) на основе синтетических полимеров или химически модифицированных природных полимеров, диспергированные или растворенные в неводной среде; растворы, указанные в примечании 4 к данной группе</w:t>
            </w:r>
          </w:p>
          <w:p>
            <w:pPr>
              <w:spacing w:after="60"/>
            </w:pPr>
            <w:r>
              <w:rPr>
                <w:rFonts w:ascii="Arial" w:cs="Arial" w:eastAsia="Arial" w:hAnsi="Arial"/>
                <w:sz w:val="19"/>
                <w:szCs w:val="19"/>
              </w:rPr>
              <w:t xml:space="preserve">Если товар является медицинским изделием, ввоз и продажа в России допускаются после государственной регистрации: в Росздравнадзоре (статья 38 Федерального закона № 323-ФЗ) или по правилам ЕАЭС (решение Совета ЕЭК от 12.02.2016 № 46).</w:t>
            </w:r>
          </w:p>
          <w:p>
            <w:pPr>
              <w:spacing w:after="60"/>
            </w:pPr>
            <w:r>
              <w:rPr>
                <w:rFonts w:ascii="Arial" w:cs="Arial" w:eastAsia="Arial" w:hAnsi="Arial"/>
                <w:color w:val="5B6472"/>
                <w:sz w:val="17"/>
                <w:szCs w:val="17"/>
              </w:rPr>
              <w:t xml:space="preserve">На практике по субпозиции 3208 20 действует сертификатов: 4, деклараций: 173; чаще по </w:t>
            </w:r>
            <w:hyperlink w:history="1" r:id="rId81gvfbneorqh3d1onuqsu">
              <w:r>
                <w:rPr>
                  <w:rFonts w:ascii="Arial" w:cs="Arial" w:eastAsia="Arial" w:hAnsi="Arial"/>
                  <w:color w:val="1F5FBF"/>
                  <w:sz w:val="17"/>
                  <w:szCs w:val="17"/>
                  <w:u w:val="single"/>
                </w:rPr>
                <w:t xml:space="preserve">ТР ТС 014/2011</w:t>
              </w:r>
            </w:hyperlink>
            <w:r>
              <w:rPr>
                <w:rFonts w:ascii="Arial" w:cs="Arial" w:eastAsia="Arial" w:hAnsi="Arial"/>
                <w:color w:val="5B6472"/>
                <w:sz w:val="17"/>
                <w:szCs w:val="17"/>
              </w:rPr>
              <w:t xml:space="preserve">, </w:t>
            </w:r>
            <w:hyperlink w:history="1" r:id="rId9j36-lv2v6xpxn2yhbumr">
              <w:r>
                <w:rPr>
                  <w:rFonts w:ascii="Arial" w:cs="Arial" w:eastAsia="Arial" w:hAnsi="Arial"/>
                  <w:color w:val="1F5FBF"/>
                  <w:sz w:val="17"/>
                  <w:szCs w:val="17"/>
                  <w:u w:val="single"/>
                </w:rPr>
                <w:t xml:space="preserve">ТР ТС 030/2012</w:t>
              </w:r>
            </w:hyperlink>
            <w:r>
              <w:rPr>
                <w:rFonts w:ascii="Arial" w:cs="Arial" w:eastAsia="Arial" w:hAnsi="Arial"/>
                <w:color w:val="5B6472"/>
                <w:sz w:val="17"/>
                <w:szCs w:val="17"/>
              </w:rPr>
              <w:t xml:space="preserve">, </w:t>
            </w:r>
            <w:hyperlink w:history="1" r:id="rIdnlywmw6i4z-teqft2rimr">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Пищевые продукты (продукты в натуральном или переработанном виде, употребляемые человеком в пищу), в том числе полученные с использованием генно-инженерно-модифицированных (трансгенных) организмов; Продукция (товары) для детей: игры и игрушки, постельное белье, одежда, обувь, учебные пособия, мебель, коляски, сумки (ранцы, рюкзаки, портфели и т. п.), дневники и аналогичные изделия, тетради,…</w:t>
            </w:r>
          </w:p>
          <w:p>
            <w:pPr>
              <w:spacing w:after="60"/>
            </w:pPr>
            <w:hyperlink w:history="1" r:id="rIdizr2bmauutdtpceplirzr">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rgavcsamo5ncoqsz1ajly">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декларировать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 графе 31 (краски и лаки (включая эмали и политуры) на основе синтетических полимеров или химически модифицированных природных полимеров, диспергированные или растворенные в неводной среде): группа лакокрасочных материалов (например, лак, краска); область применения (например, для строительства и ремонта, для автомобилей, для разметки дорог, по металлу с антикоррозийными свойствами, со специальными свойствами); смола-основа (например, алкидная, акриловая, полиуретановая, эпоксидная, хлорвиниловая, меламино-формальдегидная, полиэфирцеллюлозная, алкидно-уретановая)</w:t>
            </w:r>
          </w:p>
          <w:p>
            <w:pPr>
              <w:spacing w:after="60"/>
            </w:pPr>
            <w:hyperlink w:history="1" r:id="rIdq575mtj08meoxqfvpmrgi">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перечень сведений к графе 31</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3208209001</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ООГГ-ОО — Тарифная преференция в отношении товаров, происходящих из развивающихся стран · если товар происходит из развивающейся страны и происхождение подтверждено</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ind w:left="220" w:hanging="160"/>
            </w:pPr>
            <w:r>
              <w:rPr>
                <w:rFonts w:ascii="Arial" w:cs="Arial" w:eastAsia="Arial" w:hAnsi="Arial"/>
                <w:sz w:val="19"/>
                <w:szCs w:val="19"/>
              </w:rPr>
              <w:t xml:space="preserve">• ОООО-ГГ — Освобождение от уплаты НДС в отношении ввозимых в Российскую Федерацию технических средств, включая автомототранспорт, материалов, которые могут быть использованы исключительно для профилактики инвалидности или реабилитации инвалидов · если товар отвечает наименованию перечня освобождения от НДС (постановление № 1042)</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01408 — Документ об оценке соответствия, предусмотренный законодательством государства – члена Евразийского экономического союза, на территории которого продукция (товар) помещается под таможенные процедуры · Постановление № 2425</w:t>
            </w:r>
          </w:p>
          <w:p>
            <w:pPr>
              <w:spacing w:after="60"/>
              <w:ind w:left="220" w:hanging="160"/>
            </w:pPr>
            <w:r>
              <w:rPr>
                <w:rFonts w:ascii="Arial" w:cs="Arial" w:eastAsia="Arial" w:hAnsi="Arial"/>
                <w:sz w:val="19"/>
                <w:szCs w:val="19"/>
              </w:rPr>
              <w:t xml:space="preserve">• 01206 — Свидетельство о государственной регистрации, выданное уполномоченным органом государства–члена Евразийского экономического союза в области санитарно-эпидемиологического благополучия населения · </w:t>
            </w:r>
            <w:hyperlink w:history="1" r:id="rIdxffjtpq92u4f7m_vnttvs">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lruloorqlqmazjn2mtjeu">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_zfowo1anaawyir2ymses">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x7pp2ral56sik5huvxhzq">
              <w:r>
                <w:rPr>
                  <w:rFonts w:ascii="Arial" w:cs="Arial" w:eastAsia="Arial" w:hAnsi="Arial"/>
                  <w:color w:val="1F5FBF"/>
                  <w:sz w:val="19"/>
                  <w:szCs w:val="19"/>
                  <w:u w:val="single"/>
                </w:rPr>
                <w:t xml:space="preserve">Решение Совета ЕЭК № 73 от 14.09.2018</w:t>
              </w:r>
            </w:hyperlink>
            <w:r>
              <w:rPr>
                <w:rFonts w:ascii="Arial" w:cs="Arial" w:eastAsia="Arial" w:hAnsi="Arial"/>
                <w:sz w:val="19"/>
                <w:szCs w:val="19"/>
              </w:rPr>
              <w:t xml:space="preserve"> —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 (вступило в силу 09.11.2018)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https://imexp.ru/katalog/kod/3208209001</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ovovu-vpq65vce1_ybze" Type="http://schemas.openxmlformats.org/officeDocument/2006/relationships/hyperlink" Target="https://docs.eaeunion.org/documents/386/6099/" TargetMode="External"/><Relationship Id="rId9rpzdentpkdvnws7x_1pp" Type="http://schemas.openxmlformats.org/officeDocument/2006/relationships/hyperlink" Target="https://docs.eaeunion.org/documents/386/6099/" TargetMode="External"/><Relationship Id="rIdmimw3t3bplwe4lfnt0jsn" Type="http://schemas.openxmlformats.org/officeDocument/2006/relationships/hyperlink" Target="http://publication.pravo.gov.ru/document/0001202203140039" TargetMode="External"/><Relationship Id="rIdcdwahe6ubo-hez-kce5or" Type="http://schemas.openxmlformats.org/officeDocument/2006/relationships/hyperlink" Target="https://docs.eaeunion.org/documents/211/8993/" TargetMode="External"/><Relationship Id="rId-alefyez4bret2tbkkdzb" Type="http://schemas.openxmlformats.org/officeDocument/2006/relationships/hyperlink" Target="https://docs.eaeunion.org/documents/335/4666/" TargetMode="External"/><Relationship Id="rIdbcf9jq40tdepi-qbm1tqq" Type="http://schemas.openxmlformats.org/officeDocument/2006/relationships/hyperlink" Target="http://publication.pravo.gov.ru/document/0001202308040119" TargetMode="External"/><Relationship Id="rId4hd3uqqwtvqvkuhm8zijx" Type="http://schemas.openxmlformats.org/officeDocument/2006/relationships/hyperlink" Target="https://eur-lex.europa.eu/eli/reg/2014/833/oj/eng" TargetMode="External"/><Relationship Id="rIdmp00ahhqbmdvt7ofifsw7" Type="http://schemas.openxmlformats.org/officeDocument/2006/relationships/hyperlink" Target="https://www.legislation.gov.uk/uksi/2019/855/contents" TargetMode="External"/><Relationship Id="rId_1acjunerosogrlsxkl4x" Type="http://schemas.openxmlformats.org/officeDocument/2006/relationships/hyperlink" Target="https://www.ecfr.gov/current/title-15/subtitle-B/chapter-VII/subchapter-C/part-746" TargetMode="External"/><Relationship Id="rIdb3ivooxijbhdbtn_3w4ep" Type="http://schemas.openxmlformats.org/officeDocument/2006/relationships/hyperlink" Target="http://publication.pravo.gov.ru/document/0001202308040119" TargetMode="External"/><Relationship Id="rIdewc64gvubbwqe9a-k-pmc" Type="http://schemas.openxmlformats.org/officeDocument/2006/relationships/hyperlink" Target="https://docs.eaeunion.org/documents/386/6099/" TargetMode="External"/><Relationship Id="rIdiylt2tytsawkzstjhk2pb" Type="http://schemas.openxmlformats.org/officeDocument/2006/relationships/hyperlink" Target="https://docs.eaeunion.org/documents/317/2804/" TargetMode="External"/><Relationship Id="rIdgedfm9oj8cmvyow8czzbh" Type="http://schemas.openxmlformats.org/officeDocument/2006/relationships/hyperlink" Target="http://publication.pravo.gov.ru/document/0001201510050001" TargetMode="External"/><Relationship Id="rIdvt9k3iyuommcwxdavmwbl" Type="http://schemas.openxmlformats.org/officeDocument/2006/relationships/hyperlink" Target="http://publication.pravo.gov.ru/document/0001202411290098" TargetMode="External"/><Relationship Id="rIdczfhdjqoumlxhilr2jedr" Type="http://schemas.openxmlformats.org/officeDocument/2006/relationships/hyperlink" Target="http://publication.pravo.gov.ru/document/0001201805040007" TargetMode="External"/><Relationship Id="rIdisco2v9nsdcojqyzfjq38" Type="http://schemas.openxmlformats.org/officeDocument/2006/relationships/hyperlink" Target="https://docs.eaeunion.org/documents/211/8993/" TargetMode="External"/><Relationship Id="rId81gvfbneorqh3d1onuqsu" Type="http://schemas.openxmlformats.org/officeDocument/2006/relationships/hyperlink" Target="https://eec.eaeunion.org/comission/department/deptexreg/tr/bezopAutodorog.php" TargetMode="External"/><Relationship Id="rId9j36-lv2v6xpxn2yhbumr" Type="http://schemas.openxmlformats.org/officeDocument/2006/relationships/hyperlink" Target="https://eec.eaeunion.org/comission/department/deptexreg/tr/SmazMaterials.php" TargetMode="External"/><Relationship Id="rIdnlywmw6i4z-teqft2rimr" Type="http://schemas.openxmlformats.org/officeDocument/2006/relationships/hyperlink" Target="https://eec.eaeunion.org/comission/department/deptexreg/tr/bezopMashines.php" TargetMode="External"/><Relationship Id="rIdizr2bmauutdtpceplirzr" Type="http://schemas.openxmlformats.org/officeDocument/2006/relationships/hyperlink" Target="https://docs.eaeunion.org/documents/335/4666/" TargetMode="External"/><Relationship Id="rIdrgavcsamo5ncoqsz1ajly" Type="http://schemas.openxmlformats.org/officeDocument/2006/relationships/hyperlink" Target="http://publication.pravo.gov.ru/document/0001202207190026" TargetMode="External"/><Relationship Id="rIdq575mtj08meoxqfvpmrgi" Type="http://schemas.openxmlformats.org/officeDocument/2006/relationships/hyperlink" Target="https://docs.eaeunion.org/documents/214/946/" TargetMode="External"/><Relationship Id="rIdxffjtpq92u4f7m_vnttvs" Type="http://schemas.openxmlformats.org/officeDocument/2006/relationships/hyperlink" Target="https://docs.eaeunion.org/documents/211/8993/" TargetMode="External"/><Relationship Id="rIdlruloorqlqmazjn2mtjeu" Type="http://schemas.openxmlformats.org/officeDocument/2006/relationships/hyperlink" Target="https://docs.eaeunion.org/documents/214/946/" TargetMode="External"/><Relationship Id="rId_zfowo1anaawyir2ymses" Type="http://schemas.openxmlformats.org/officeDocument/2006/relationships/hyperlink" Target="https://docs.eaeunion.org/documents/208/8939/" TargetMode="External"/><Relationship Id="rIdx7pp2ral56sik5huvxhzq" Type="http://schemas.openxmlformats.org/officeDocument/2006/relationships/hyperlink" Target="https://docs.eaeunion.org/documents/326/3934/" TargetMode="External"/><Relationship Id="rId3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3208 20 900 1</dc:title>
  <dc:creator>IMEXP</dc:creator>
  <cp:lastModifiedBy>Un-named</cp:lastModifiedBy>
  <cp:revision>1</cp:revision>
  <dcterms:created xsi:type="dcterms:W3CDTF">2026-10-26T22:18:03.015Z</dcterms:created>
  <dcterms:modified xsi:type="dcterms:W3CDTF">2026-10-26T22:18:03.015Z</dcterms:modified>
</cp:coreProperties>
</file>

<file path=docProps/custom.xml><?xml version="1.0" encoding="utf-8"?>
<Properties xmlns="http://schemas.openxmlformats.org/officeDocument/2006/custom-properties" xmlns:vt="http://schemas.openxmlformats.org/officeDocument/2006/docPropsVTypes"/>
</file>