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pPr>
      <w:r>
        <w:rPr>
          <w:rFonts w:ascii="Arial" w:cs="Arial" w:eastAsia="Arial" w:hAnsi="Arial"/>
          <w:b/>
          <w:bCs/>
          <w:sz w:val="30"/>
          <w:szCs w:val="30"/>
        </w:rPr>
        <w:t xml:space="preserve">Справка о товаре: ввоз в Россию</w:t>
      </w:r>
    </w:p>
    <w:p>
      <w:pPr>
        <w:spacing w:after="80"/>
      </w:pPr>
      <w:r>
        <w:rPr>
          <w:rFonts w:ascii="Arial" w:cs="Arial" w:eastAsia="Arial" w:hAnsi="Arial"/>
          <w:b/>
          <w:bCs/>
          <w:sz w:val="24"/>
          <w:szCs w:val="24"/>
        </w:rPr>
        <w:t xml:space="preserve">Код ТН ВЭД ЕАЭС 3824 30 000 0</w:t>
      </w:r>
    </w:p>
    <w:p>
      <w:pPr>
        <w:spacing w:after="200"/>
      </w:pPr>
      <w:r>
        <w:rPr>
          <w:rFonts w:ascii="Arial" w:cs="Arial" w:eastAsia="Arial" w:hAnsi="Arial"/>
          <w:color w:val="5B6472"/>
          <w:sz w:val="19"/>
          <w:szCs w:val="19"/>
        </w:rPr>
        <w:t xml:space="preserve">Сведения на 30.10.2026</w:t>
      </w:r>
    </w:p>
    <w:tbl>
      <w:tblPr>
        <w:tblW w:type="dxa" w:w="10204"/>
        <w:tblBorders>
          <w:top w:val="single" w:color="C9CFD8" w:sz="4"/>
          <w:left w:val="single" w:color="C9CFD8" w:sz="4"/>
          <w:bottom w:val="single" w:color="C9CFD8" w:sz="4"/>
          <w:right w:val="single" w:color="C9CFD8" w:sz="4"/>
          <w:insideH w:val="single" w:color="C9CFD8" w:sz="4"/>
          <w:insideV w:val="single" w:color="C9CFD8" w:sz="4"/>
        </w:tblBorders>
      </w:tblPr>
      <w:tblGrid>
        <w:gridCol w:w="2600"/>
        <w:gridCol w:w="7604"/>
      </w:tblGrid>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Наименование</w:t>
            </w:r>
          </w:p>
        </w:tc>
        <w:tc>
          <w:tcPr>
            <w:tcW w:type="dxa" w:w="7604"/>
            <w:tcMar>
              <w:top w:type="dxa" w:w="80"/>
              <w:left w:type="dxa" w:w="120"/>
              <w:bottom w:type="dxa" w:w="80"/>
              <w:right w:type="dxa" w:w="120"/>
            </w:tcMar>
          </w:tcPr>
          <w:p>
            <w:pPr>
              <w:spacing w:after="60"/>
            </w:pPr>
            <w:r>
              <w:rPr>
                <w:rFonts w:ascii="Arial" w:cs="Arial" w:eastAsia="Arial" w:hAnsi="Arial"/>
                <w:color w:val="5B6472"/>
                <w:sz w:val="17"/>
                <w:szCs w:val="17"/>
              </w:rPr>
              <w:t xml:space="preserve">Раздел VI. Продукция химической и связанных с ней отраслей промышленности</w:t>
            </w:r>
          </w:p>
          <w:p>
            <w:pPr>
              <w:spacing w:after="60"/>
            </w:pPr>
            <w:r>
              <w:rPr>
                <w:rFonts w:ascii="Arial" w:cs="Arial" w:eastAsia="Arial" w:hAnsi="Arial"/>
                <w:color w:val="5B6472"/>
                <w:sz w:val="17"/>
                <w:szCs w:val="17"/>
              </w:rPr>
              <w:t xml:space="preserve">38 — ПРОЧИЕ ХИМИЧЕСКИЕ ПРОДУКТЫ</w:t>
            </w:r>
          </w:p>
          <w:p>
            <w:pPr>
              <w:spacing w:after="60"/>
            </w:pPr>
            <w:r>
              <w:rPr>
                <w:rFonts w:ascii="Arial" w:cs="Arial" w:eastAsia="Arial" w:hAnsi="Arial"/>
                <w:color w:val="5B6472"/>
                <w:sz w:val="17"/>
                <w:szCs w:val="17"/>
              </w:rPr>
              <w:t xml:space="preserve">3824 — Готовые связующие вещества для производства литейных форм или литейных стержней; продукты и препараты химические, химической или смежных отраслей промышленности (включая препараты, состоящие из смесей природных продуктов), в другом месте не поименованные или не включенные</w:t>
            </w:r>
          </w:p>
          <w:p>
            <w:pPr>
              <w:spacing w:after="60"/>
            </w:pPr>
            <w:r>
              <w:rPr>
                <w:rFonts w:ascii="Arial" w:cs="Arial" w:eastAsia="Arial" w:hAnsi="Arial"/>
                <w:color w:val="5B6472"/>
                <w:sz w:val="17"/>
                <w:szCs w:val="17"/>
              </w:rPr>
              <w:t xml:space="preserve">3824 30 — Карбиды металлов неагломерированные, смешанные между собой или с другими металлическими связующими веществами</w:t>
            </w:r>
          </w:p>
          <w:p>
            <w:pPr>
              <w:spacing w:after="60"/>
            </w:pPr>
            <w:r>
              <w:rPr>
                <w:rFonts w:ascii="Arial" w:cs="Arial" w:eastAsia="Arial" w:hAnsi="Arial"/>
                <w:color w:val="5B6472"/>
                <w:sz w:val="17"/>
                <w:szCs w:val="17"/>
              </w:rPr>
              <w:t xml:space="preserve">3824 30 00 — Карбиды металлов неагломерированные, смешанные между собой или с другими металлическими связующими веществами</w:t>
            </w:r>
          </w:p>
          <w:p>
            <w:pPr>
              <w:spacing w:after="60"/>
            </w:pPr>
            <w:r>
              <w:rPr>
                <w:rFonts w:ascii="Arial" w:cs="Arial" w:eastAsia="Arial" w:hAnsi="Arial"/>
                <w:b/>
                <w:bCs/>
                <w:sz w:val="19"/>
                <w:szCs w:val="19"/>
              </w:rPr>
              <w:t xml:space="preserve">3824 30 000 0 — Карбиды металлов неагломерированные, смешанные между собой или с другими металлическими связующими веществами</w:t>
            </w:r>
          </w:p>
          <w:p>
            <w:pPr>
              <w:spacing w:after="60"/>
            </w:pPr>
            <w:r>
              <w:rPr>
                <w:rFonts w:ascii="Arial" w:cs="Arial" w:eastAsia="Arial" w:hAnsi="Arial"/>
                <w:color w:val="5B6472"/>
                <w:sz w:val="17"/>
                <w:szCs w:val="17"/>
              </w:rPr>
              <w:t xml:space="preserve">Основание: Единая товарная номенклатура ВЭД ЕАЭС, </w:t>
            </w:r>
            <w:hyperlink w:history="1" r:id="rId9roialbkd5dkul1aqe6x7">
              <w:r>
                <w:rPr>
                  <w:rFonts w:ascii="Arial" w:cs="Arial" w:eastAsia="Arial" w:hAnsi="Arial"/>
                  <w:color w:val="1F5FBF"/>
                  <w:sz w:val="17"/>
                  <w:szCs w:val="17"/>
                  <w:u w:val="single"/>
                </w:rPr>
                <w:t xml:space="preserve">Решение Совета ЕЭК от 14.09.2021 № 80</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Дополнительная единица измерения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Не применяется</w:t>
            </w:r>
          </w:p>
          <w:p>
            <w:pPr>
              <w:spacing w:after="60"/>
            </w:pPr>
            <w:r>
              <w:rPr>
                <w:rFonts w:ascii="Arial" w:cs="Arial" w:eastAsia="Arial" w:hAnsi="Arial"/>
                <w:color w:val="5B6472"/>
                <w:sz w:val="17"/>
                <w:szCs w:val="17"/>
              </w:rPr>
              <w:t xml:space="preserve">Основание: Единая товарная номенклатура ВЭД ЕАЭС, </w:t>
            </w:r>
            <w:hyperlink w:history="1" r:id="rIdiobkgz1oxurideqqom1ip">
              <w:r>
                <w:rPr>
                  <w:rFonts w:ascii="Arial" w:cs="Arial" w:eastAsia="Arial" w:hAnsi="Arial"/>
                  <w:color w:val="1F5FBF"/>
                  <w:sz w:val="17"/>
                  <w:szCs w:val="17"/>
                  <w:u w:val="single"/>
                </w:rPr>
                <w:t xml:space="preserve">Решение Совета ЕЭК от 14.09.2021 № 80</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Какие документы нужны при ввозе</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Декларация о соответствии — Постановление № 2425 (касается части товаров кода)</w:t>
            </w:r>
          </w:p>
          <w:p>
            <w:pPr>
              <w:spacing w:after="60"/>
              <w:ind w:left="220" w:hanging="160"/>
            </w:pPr>
            <w:r>
              <w:rPr>
                <w:rFonts w:ascii="Arial" w:cs="Arial" w:eastAsia="Arial" w:hAnsi="Arial"/>
                <w:sz w:val="19"/>
                <w:szCs w:val="19"/>
              </w:rPr>
              <w:t xml:space="preserve">• Декларация на собственных доказательствах (вместо сертификата) — </w:t>
            </w:r>
            <w:hyperlink w:history="1" r:id="rIdcmylhyizpk6xbarhr04wb">
              <w:r>
                <w:rPr>
                  <w:rFonts w:ascii="Arial" w:cs="Arial" w:eastAsia="Arial" w:hAnsi="Arial"/>
                  <w:color w:val="1F5FBF"/>
                  <w:sz w:val="19"/>
                  <w:szCs w:val="19"/>
                  <w:u w:val="single"/>
                </w:rPr>
                <w:t xml:space="preserve">Постановление Правительства РФ № 353</w:t>
              </w:r>
            </w:hyperlink>
            <w:r>
              <w:rPr>
                <w:rFonts w:ascii="Arial" w:cs="Arial" w:eastAsia="Arial" w:hAnsi="Arial"/>
                <w:sz w:val="19"/>
                <w:szCs w:val="19"/>
              </w:rPr>
              <w:t xml:space="preserve">, приложение № 18, пункт 6 (до 01.09.2027 на партию товара; заявитель: российское юрлицо или ИП; декларация на 6 месяцев, без знака ЕАС)</w:t>
            </w:r>
          </w:p>
          <w:p>
            <w:pPr>
              <w:spacing w:after="60"/>
              <w:ind w:left="220" w:hanging="160"/>
            </w:pPr>
            <w:r>
              <w:rPr>
                <w:rFonts w:ascii="Arial" w:cs="Arial" w:eastAsia="Arial" w:hAnsi="Arial"/>
                <w:sz w:val="19"/>
                <w:szCs w:val="19"/>
              </w:rPr>
              <w:t xml:space="preserve">• Свидетельство о госрегистрации (СГР) — </w:t>
            </w:r>
            <w:hyperlink w:history="1" r:id="rIdzz0ozwvxwqc5zpm8mzxmg">
              <w:r>
                <w:rPr>
                  <w:rFonts w:ascii="Arial" w:cs="Arial" w:eastAsia="Arial" w:hAnsi="Arial"/>
                  <w:color w:val="1F5FBF"/>
                  <w:sz w:val="19"/>
                  <w:szCs w:val="19"/>
                  <w:u w:val="single"/>
                </w:rPr>
                <w:t xml:space="preserve">Решение Комиссии Таможенного союза № 299</w:t>
              </w:r>
            </w:hyperlink>
            <w:r>
              <w:rPr>
                <w:rFonts w:ascii="Arial" w:cs="Arial" w:eastAsia="Arial" w:hAnsi="Arial"/>
                <w:sz w:val="19"/>
                <w:szCs w:val="19"/>
              </w:rPr>
              <w:t xml:space="preserve">, раздел II (если товар относится к этому виду)</w:t>
            </w:r>
          </w:p>
          <w:p>
            <w:pPr>
              <w:spacing w:after="60"/>
              <w:ind w:left="220" w:hanging="160"/>
            </w:pPr>
            <w:r>
              <w:rPr>
                <w:rFonts w:ascii="Arial" w:cs="Arial" w:eastAsia="Arial" w:hAnsi="Arial"/>
                <w:sz w:val="19"/>
                <w:szCs w:val="19"/>
              </w:rPr>
              <w:t xml:space="preserve">• Санитарно-эпидемиологический надзор — </w:t>
            </w:r>
            <w:hyperlink w:history="1" r:id="rId9rc_2wk39lax8bouwqrs0">
              <w:r>
                <w:rPr>
                  <w:rFonts w:ascii="Arial" w:cs="Arial" w:eastAsia="Arial" w:hAnsi="Arial"/>
                  <w:color w:val="1F5FBF"/>
                  <w:sz w:val="19"/>
                  <w:szCs w:val="19"/>
                  <w:u w:val="single"/>
                </w:rPr>
                <w:t xml:space="preserve">Решение Коллегии Евразийской экономической комиссии от 17.09.2019 № 154</w:t>
              </w:r>
            </w:hyperlink>
            <w:r>
              <w:rPr>
                <w:rFonts w:ascii="Arial" w:cs="Arial" w:eastAsia="Arial" w:hAnsi="Arial"/>
                <w:sz w:val="19"/>
                <w:szCs w:val="19"/>
              </w:rPr>
              <w:t xml:space="preserve"> (касается части товаров кода)</w:t>
            </w:r>
          </w:p>
          <w:p>
            <w:pPr>
              <w:spacing w:after="60"/>
              <w:ind w:left="220" w:hanging="160"/>
            </w:pPr>
            <w:r>
              <w:rPr>
                <w:rFonts w:ascii="Arial" w:cs="Arial" w:eastAsia="Arial" w:hAnsi="Arial"/>
                <w:sz w:val="19"/>
                <w:szCs w:val="19"/>
              </w:rPr>
              <w:t xml:space="preserve">• Ветеринарный сертификат — </w:t>
            </w:r>
            <w:hyperlink w:history="1" r:id="rIdpfyotvr4es9j5s5ueoeqd">
              <w:r>
                <w:rPr>
                  <w:rFonts w:ascii="Arial" w:cs="Arial" w:eastAsia="Arial" w:hAnsi="Arial"/>
                  <w:color w:val="1F5FBF"/>
                  <w:sz w:val="19"/>
                  <w:szCs w:val="19"/>
                  <w:u w:val="single"/>
                </w:rPr>
                <w:t xml:space="preserve">Решение Коллегии Евразийской экономической комиссии от 20.01.2020 № 13</w:t>
              </w:r>
            </w:hyperlink>
            <w:r>
              <w:rPr>
                <w:rFonts w:ascii="Arial" w:cs="Arial" w:eastAsia="Arial" w:hAnsi="Arial"/>
                <w:sz w:val="19"/>
                <w:szCs w:val="19"/>
              </w:rPr>
              <w:t xml:space="preserve"> (касается части товаров кода)</w:t>
            </w:r>
          </w:p>
          <w:p>
            <w:pPr>
              <w:spacing w:after="60"/>
              <w:ind w:left="220" w:hanging="160"/>
            </w:pPr>
            <w:r>
              <w:rPr>
                <w:rFonts w:ascii="Arial" w:cs="Arial" w:eastAsia="Arial" w:hAnsi="Arial"/>
                <w:sz w:val="19"/>
                <w:szCs w:val="19"/>
              </w:rPr>
              <w:t xml:space="preserve">• Запрет — </w:t>
            </w:r>
            <w:hyperlink w:history="1" r:id="rIdw6ko_-9kct8yov3liazxo">
              <w:r>
                <w:rPr>
                  <w:rFonts w:ascii="Arial" w:cs="Arial" w:eastAsia="Arial" w:hAnsi="Arial"/>
                  <w:color w:val="1F5FBF"/>
                  <w:sz w:val="19"/>
                  <w:szCs w:val="19"/>
                  <w:u w:val="single"/>
                </w:rPr>
                <w:t xml:space="preserve">Решение Коллегии ЕЭК № 30</w:t>
              </w:r>
            </w:hyperlink>
            <w:r>
              <w:rPr>
                <w:rFonts w:ascii="Arial" w:cs="Arial" w:eastAsia="Arial" w:hAnsi="Arial"/>
                <w:sz w:val="19"/>
                <w:szCs w:val="19"/>
              </w:rPr>
              <w:t xml:space="preserve">, раздел 1.2 (касается части товаров кода)</w:t>
            </w:r>
          </w:p>
          <w:p>
            <w:pPr>
              <w:spacing w:after="60"/>
              <w:ind w:left="220" w:hanging="160"/>
            </w:pPr>
            <w:r>
              <w:rPr>
                <w:rFonts w:ascii="Arial" w:cs="Arial" w:eastAsia="Arial" w:hAnsi="Arial"/>
                <w:sz w:val="19"/>
                <w:szCs w:val="19"/>
              </w:rPr>
              <w:t xml:space="preserve">• Лицензия или разрешение — </w:t>
            </w:r>
            <w:hyperlink w:history="1" r:id="rIdfcrqgsjlzgv_pcc9f40ex">
              <w:r>
                <w:rPr>
                  <w:rFonts w:ascii="Arial" w:cs="Arial" w:eastAsia="Arial" w:hAnsi="Arial"/>
                  <w:color w:val="1F5FBF"/>
                  <w:sz w:val="19"/>
                  <w:szCs w:val="19"/>
                  <w:u w:val="single"/>
                </w:rPr>
                <w:t xml:space="preserve">Решение Коллегии ЕЭК № 30</w:t>
              </w:r>
            </w:hyperlink>
            <w:r>
              <w:rPr>
                <w:rFonts w:ascii="Arial" w:cs="Arial" w:eastAsia="Arial" w:hAnsi="Arial"/>
                <w:sz w:val="19"/>
                <w:szCs w:val="19"/>
              </w:rPr>
              <w:t xml:space="preserve">, раздел 2.3 (касается части товаров кода)</w:t>
            </w:r>
          </w:p>
          <w:p>
            <w:pPr>
              <w:spacing w:after="60"/>
              <w:ind w:left="220" w:hanging="160"/>
            </w:pPr>
            <w:r>
              <w:rPr>
                <w:rFonts w:ascii="Arial" w:cs="Arial" w:eastAsia="Arial" w:hAnsi="Arial"/>
                <w:sz w:val="19"/>
                <w:szCs w:val="19"/>
              </w:rPr>
              <w:t xml:space="preserve">• Ввоз без согласия правообладателя (параллельный импорт) — </w:t>
            </w:r>
            <w:hyperlink w:history="1" r:id="rIdn1tejcob-htgv68brc1gz">
              <w:r>
                <w:rPr>
                  <w:rFonts w:ascii="Arial" w:cs="Arial" w:eastAsia="Arial" w:hAnsi="Arial"/>
                  <w:color w:val="1F5FBF"/>
                  <w:sz w:val="19"/>
                  <w:szCs w:val="19"/>
                  <w:u w:val="single"/>
                </w:rPr>
                <w:t xml:space="preserve">Приказ Минпромторга России № 2701</w:t>
              </w:r>
            </w:hyperlink>
            <w:r>
              <w:rPr>
                <w:rFonts w:ascii="Arial" w:cs="Arial" w:eastAsia="Arial" w:hAnsi="Arial"/>
                <w:sz w:val="19"/>
                <w:szCs w:val="19"/>
              </w:rPr>
              <w:t xml:space="preserve">, пункт 49 (только для товарных знаков из перечня)</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Запреты других стран</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Страна продавца запрещает вывоз такого товара в Россию: касается товара, который покупают в этой стране или у её компаний.</w:t>
            </w:r>
          </w:p>
          <w:p>
            <w:pPr>
              <w:spacing w:after="60"/>
              <w:ind w:left="220" w:hanging="160"/>
            </w:pPr>
            <w:r>
              <w:rPr>
                <w:rFonts w:ascii="Arial" w:cs="Arial" w:eastAsia="Arial" w:hAnsi="Arial"/>
                <w:sz w:val="19"/>
                <w:szCs w:val="19"/>
              </w:rPr>
              <w:t xml:space="preserve">• ЕС: </w:t>
            </w:r>
            <w:hyperlink w:history="1" r:id="rIdhioghrkyey7ikvbjvcqzt">
              <w:r>
                <w:rPr>
                  <w:rFonts w:ascii="Arial" w:cs="Arial" w:eastAsia="Arial" w:hAnsi="Arial"/>
                  <w:color w:val="1F5FBF"/>
                  <w:sz w:val="19"/>
                  <w:szCs w:val="19"/>
                  <w:u w:val="single"/>
                </w:rPr>
                <w:t xml:space="preserve">Регламент Совета ЕС № 833/2014</w:t>
              </w:r>
            </w:hyperlink>
            <w:r>
              <w:rPr>
                <w:rFonts w:ascii="Arial" w:cs="Arial" w:eastAsia="Arial" w:hAnsi="Arial"/>
                <w:sz w:val="19"/>
                <w:szCs w:val="19"/>
              </w:rPr>
              <w:t xml:space="preserve">, приложение XXIII (промышленные товары)</w:t>
            </w:r>
          </w:p>
          <w:p>
            <w:pPr>
              <w:spacing w:after="60"/>
              <w:ind w:left="220" w:hanging="160"/>
            </w:pPr>
            <w:r>
              <w:rPr>
                <w:rFonts w:ascii="Arial" w:cs="Arial" w:eastAsia="Arial" w:hAnsi="Arial"/>
                <w:sz w:val="19"/>
                <w:szCs w:val="19"/>
              </w:rPr>
              <w:t xml:space="preserve">• Великобритания: </w:t>
            </w:r>
            <w:hyperlink w:history="1" r:id="rIde6vceyba1b4rko_6fvghq">
              <w:r>
                <w:rPr>
                  <w:rFonts w:ascii="Arial" w:cs="Arial" w:eastAsia="Arial" w:hAnsi="Arial"/>
                  <w:color w:val="1F5FBF"/>
                  <w:sz w:val="19"/>
                  <w:szCs w:val="19"/>
                  <w:u w:val="single"/>
                </w:rPr>
                <w:t xml:space="preserve">Регламент Великобритании о санкциях против России 2019 года</w:t>
              </w:r>
            </w:hyperlink>
            <w:r>
              <w:rPr>
                <w:rFonts w:ascii="Arial" w:cs="Arial" w:eastAsia="Arial" w:hAnsi="Arial"/>
                <w:sz w:val="19"/>
                <w:szCs w:val="19"/>
              </w:rPr>
              <w:t xml:space="preserve">, приложение 3 (энергетика)</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Параллельный импорт</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подпадает под перечень </w:t>
            </w:r>
            <w:hyperlink w:history="1" r:id="rIdroqcamghqdfbjrj2ntj_j">
              <w:r>
                <w:rPr>
                  <w:rFonts w:ascii="Arial" w:cs="Arial" w:eastAsia="Arial" w:hAnsi="Arial"/>
                  <w:color w:val="1F5FBF"/>
                  <w:sz w:val="19"/>
                  <w:szCs w:val="19"/>
                  <w:u w:val="single"/>
                </w:rPr>
                <w:t xml:space="preserve">приказа Минпромторга России от 21.07.2023 № 2701</w:t>
              </w:r>
            </w:hyperlink>
            <w:r>
              <w:rPr>
                <w:rFonts w:ascii="Arial" w:cs="Arial" w:eastAsia="Arial" w:hAnsi="Arial"/>
                <w:sz w:val="19"/>
                <w:szCs w:val="19"/>
              </w:rPr>
              <w:t xml:space="preserve">: товар, введённый в оборот за рубежом правообладателем или с его согласия, можно ввозить без согласия правообладателя, но только под товарными знаками пункта.</w:t>
            </w:r>
          </w:p>
          <w:p>
            <w:pPr>
              <w:spacing w:after="60"/>
              <w:ind w:left="220" w:hanging="160"/>
            </w:pPr>
            <w:r>
              <w:rPr>
                <w:rFonts w:ascii="Arial" w:cs="Arial" w:eastAsia="Arial" w:hAnsi="Arial"/>
                <w:sz w:val="19"/>
                <w:szCs w:val="19"/>
              </w:rPr>
              <w:t xml:space="preserve">• Пункт 49 (38): ACURA, ALFA ROMEO, AUDI, BENTLEY, BMW, CADILLAC, CASTROL, CHEVROLET, CHRYSLER, DAEWOO, DAIHATSU, DATSUN, DODGE, elf, FERRARI, FIAT, GENERAL MOTORS (GM), GMC, HONDA, HUMMER, INFINITI, JAGUAR, JEEP, LAND ROVER, LEXUS, LINCOLN, MASERATI, MAYBACH, MERCEDES-BENZ,…</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Ввозная пошлина</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5% — ставка Единого таможенного тарифа ЕАЭС</w:t>
            </w:r>
          </w:p>
          <w:p>
            <w:pPr>
              <w:spacing w:after="60"/>
            </w:pPr>
            <w:r>
              <w:rPr>
                <w:rFonts w:ascii="Arial" w:cs="Arial" w:eastAsia="Arial" w:hAnsi="Arial"/>
                <w:color w:val="5B6472"/>
                <w:sz w:val="17"/>
                <w:szCs w:val="17"/>
              </w:rPr>
              <w:t xml:space="preserve">ЕТТ ЕАЭС в редакции </w:t>
            </w:r>
            <w:hyperlink w:history="1" r:id="rIdbsp83b4wtatarpnxvc45z">
              <w:r>
                <w:rPr>
                  <w:rFonts w:ascii="Arial" w:cs="Arial" w:eastAsia="Arial" w:hAnsi="Arial"/>
                  <w:color w:val="1F5FBF"/>
                  <w:sz w:val="17"/>
                  <w:szCs w:val="17"/>
                  <w:u w:val="single"/>
                </w:rPr>
                <w:t xml:space="preserve">Решение Совета ЕЭК № 80 от 14.09.2021</w:t>
              </w:r>
            </w:hyperlink>
            <w:r>
              <w:rPr>
                <w:rFonts w:ascii="Arial" w:cs="Arial" w:eastAsia="Arial" w:hAnsi="Arial"/>
                <w:color w:val="5B6472"/>
                <w:sz w:val="17"/>
                <w:szCs w:val="17"/>
              </w:rPr>
              <w:t xml:space="preserve">, с 01.01.2022; более поздних решений о ставке по этому коду в нашем реестре нет</w:t>
            </w:r>
          </w:p>
          <w:p>
            <w:pPr>
              <w:spacing w:after="60"/>
              <w:ind w:left="220" w:hanging="160"/>
            </w:pPr>
            <w:r>
              <w:rPr>
                <w:rFonts w:ascii="Arial" w:cs="Arial" w:eastAsia="Arial" w:hAnsi="Arial"/>
                <w:sz w:val="19"/>
                <w:szCs w:val="19"/>
              </w:rPr>
              <w:t xml:space="preserve">• Товар из наименее развитых стран (46): преференция, ставка 0%.</w:t>
            </w:r>
          </w:p>
          <w:p>
            <w:pPr>
              <w:spacing w:after="60"/>
            </w:pPr>
            <w:r>
              <w:rPr>
                <w:rFonts w:ascii="Arial" w:cs="Arial" w:eastAsia="Arial" w:hAnsi="Arial"/>
                <w:color w:val="5B6472"/>
                <w:sz w:val="17"/>
                <w:szCs w:val="17"/>
              </w:rPr>
              <w:t xml:space="preserve">Условия преференции: документ о происхождении товара и прямая поставка. </w:t>
            </w:r>
            <w:hyperlink w:history="1" r:id="rIdkpai1j5jdtwt5euvef3qh">
              <w:r>
                <w:rPr>
                  <w:rFonts w:ascii="Arial" w:cs="Arial" w:eastAsia="Arial" w:hAnsi="Arial"/>
                  <w:color w:val="1F5FBF"/>
                  <w:sz w:val="17"/>
                  <w:szCs w:val="17"/>
                  <w:u w:val="single"/>
                </w:rPr>
                <w:t xml:space="preserve">Решение Совета ЕЭК от 13.01.2017 № 8</w:t>
              </w:r>
            </w:hyperlink>
            <w:r>
              <w:rPr>
                <w:rFonts w:ascii="Arial" w:cs="Arial" w:eastAsia="Arial" w:hAnsi="Arial"/>
                <w:color w:val="5B6472"/>
                <w:sz w:val="17"/>
                <w:szCs w:val="17"/>
              </w:rPr>
              <w:t xml:space="preserve">.</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Особые виды пошлин</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Антидемпинговые, компенсационные и специальные пошлины по коду не применяются.</w:t>
            </w:r>
          </w:p>
          <w:p>
            <w:pPr>
              <w:spacing w:after="60"/>
            </w:pPr>
            <w:r>
              <w:rPr>
                <w:rFonts w:ascii="Arial" w:cs="Arial" w:eastAsia="Arial" w:hAnsi="Arial"/>
                <w:color w:val="5B6472"/>
                <w:sz w:val="17"/>
                <w:szCs w:val="17"/>
              </w:rPr>
              <w:t xml:space="preserve">Основание: Договор о Евразийском экономическом союзе от 29.05.2014, приложение № 8</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Акциз</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Подакцизных видов товаров по коду нет (статья 181 НК РФ).</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НДС при ввозе</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22% — основная ставка (статья 164 НК РФ).</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Таможенный сбор</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Зависит от таможенной стоимости товаров в декларации (2026):</w:t>
            </w:r>
          </w:p>
          <w:p>
            <w:pPr>
              <w:spacing w:after="60"/>
              <w:ind w:left="220" w:hanging="160"/>
            </w:pPr>
            <w:r>
              <w:rPr>
                <w:rFonts w:ascii="Arial" w:cs="Arial" w:eastAsia="Arial" w:hAnsi="Arial"/>
                <w:sz w:val="19"/>
                <w:szCs w:val="19"/>
              </w:rPr>
              <w:t xml:space="preserve">• от 0 до 200 000 ₽ — 1 231 ₽</w:t>
            </w:r>
          </w:p>
          <w:p>
            <w:pPr>
              <w:spacing w:after="60"/>
              <w:ind w:left="220" w:hanging="160"/>
            </w:pPr>
            <w:r>
              <w:rPr>
                <w:rFonts w:ascii="Arial" w:cs="Arial" w:eastAsia="Arial" w:hAnsi="Arial"/>
                <w:sz w:val="19"/>
                <w:szCs w:val="19"/>
              </w:rPr>
              <w:t xml:space="preserve">• от 200 000 до 450 000 ₽ — 2 462 ₽</w:t>
            </w:r>
          </w:p>
          <w:p>
            <w:pPr>
              <w:spacing w:after="60"/>
              <w:ind w:left="220" w:hanging="160"/>
            </w:pPr>
            <w:r>
              <w:rPr>
                <w:rFonts w:ascii="Arial" w:cs="Arial" w:eastAsia="Arial" w:hAnsi="Arial"/>
                <w:sz w:val="19"/>
                <w:szCs w:val="19"/>
              </w:rPr>
              <w:t xml:space="preserve">• от 450 000 до 1 200 000 ₽ — 4 924 ₽</w:t>
            </w:r>
          </w:p>
          <w:p>
            <w:pPr>
              <w:spacing w:after="60"/>
              <w:ind w:left="220" w:hanging="160"/>
            </w:pPr>
            <w:r>
              <w:rPr>
                <w:rFonts w:ascii="Arial" w:cs="Arial" w:eastAsia="Arial" w:hAnsi="Arial"/>
                <w:sz w:val="19"/>
                <w:szCs w:val="19"/>
              </w:rPr>
              <w:t xml:space="preserve">• от 1 200 000 до 2 700 000 ₽ — 13 541 ₽</w:t>
            </w:r>
          </w:p>
          <w:p>
            <w:pPr>
              <w:spacing w:after="60"/>
              <w:ind w:left="220" w:hanging="160"/>
            </w:pPr>
            <w:r>
              <w:rPr>
                <w:rFonts w:ascii="Arial" w:cs="Arial" w:eastAsia="Arial" w:hAnsi="Arial"/>
                <w:sz w:val="19"/>
                <w:szCs w:val="19"/>
              </w:rPr>
              <w:t xml:space="preserve">• от 2 700 000 до 4 200 000 ₽ — 18 465 ₽</w:t>
            </w:r>
          </w:p>
          <w:p>
            <w:pPr>
              <w:spacing w:after="60"/>
              <w:ind w:left="220" w:hanging="160"/>
            </w:pPr>
            <w:r>
              <w:rPr>
                <w:rFonts w:ascii="Arial" w:cs="Arial" w:eastAsia="Arial" w:hAnsi="Arial"/>
                <w:sz w:val="19"/>
                <w:szCs w:val="19"/>
              </w:rPr>
              <w:t xml:space="preserve">• от 4 200 000 до 5 500 000 ₽ — 21 344 ₽</w:t>
            </w:r>
          </w:p>
          <w:p>
            <w:pPr>
              <w:spacing w:after="60"/>
              <w:ind w:left="220" w:hanging="160"/>
            </w:pPr>
            <w:r>
              <w:rPr>
                <w:rFonts w:ascii="Arial" w:cs="Arial" w:eastAsia="Arial" w:hAnsi="Arial"/>
                <w:sz w:val="19"/>
                <w:szCs w:val="19"/>
              </w:rPr>
              <w:t xml:space="preserve">• от 5 500 000 до 10 000 000 ₽ — 49 240 ₽</w:t>
            </w:r>
          </w:p>
          <w:p>
            <w:pPr>
              <w:spacing w:after="60"/>
              <w:ind w:left="220" w:hanging="160"/>
            </w:pPr>
            <w:r>
              <w:rPr>
                <w:rFonts w:ascii="Arial" w:cs="Arial" w:eastAsia="Arial" w:hAnsi="Arial"/>
                <w:sz w:val="19"/>
                <w:szCs w:val="19"/>
              </w:rPr>
              <w:t xml:space="preserve">• свыше 10 000 000 ₽ — 73 860 ₽</w:t>
            </w:r>
          </w:p>
          <w:p>
            <w:pPr>
              <w:spacing w:after="60"/>
            </w:pPr>
            <w:hyperlink w:history="1" r:id="rIdaxacscokvqxwvqpfvzdlc">
              <w:r>
                <w:rPr>
                  <w:rFonts w:ascii="Arial" w:cs="Arial" w:eastAsia="Arial" w:hAnsi="Arial"/>
                  <w:color w:val="1F5FBF"/>
                  <w:sz w:val="17"/>
                  <w:szCs w:val="17"/>
                  <w:u w:val="single"/>
                </w:rPr>
                <w:t xml:space="preserve">Постановление Правительства РФ от 28.11.2024 № 1637</w:t>
              </w:r>
            </w:hyperlink>
            <w:r>
              <w:rPr>
                <w:rFonts w:ascii="Arial" w:cs="Arial" w:eastAsia="Arial" w:hAnsi="Arial"/>
                <w:color w:val="5B6472"/>
                <w:sz w:val="17"/>
                <w:szCs w:val="17"/>
              </w:rPr>
              <w:t xml:space="preserve"> в редакции от 23.10.2025 № 1638.</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Запреты и ограничения</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ввоз: запрет — Опасные отходы, запрещенные к ввозу (касается части товаров кода)</w:t>
            </w:r>
          </w:p>
          <w:p>
            <w:pPr>
              <w:spacing w:after="60"/>
            </w:pPr>
            <w:hyperlink w:history="1" r:id="rId9nrwdkm9l3v5omoqgkeeb">
              <w:r>
                <w:rPr>
                  <w:rFonts w:ascii="Arial" w:cs="Arial" w:eastAsia="Arial" w:hAnsi="Arial"/>
                  <w:color w:val="1F5FBF"/>
                  <w:sz w:val="17"/>
                  <w:szCs w:val="17"/>
                  <w:u w:val="single"/>
                </w:rPr>
                <w:t xml:space="preserve">Решение Коллегии ЕЭК от 21.04.2015 № 30</w:t>
              </w:r>
            </w:hyperlink>
            <w:r>
              <w:rPr>
                <w:rFonts w:ascii="Arial" w:cs="Arial" w:eastAsia="Arial" w:hAnsi="Arial"/>
                <w:color w:val="5B6472"/>
                <w:sz w:val="17"/>
                <w:szCs w:val="17"/>
              </w:rPr>
              <w:t xml:space="preserve">, раздел 1.2</w:t>
            </w:r>
          </w:p>
          <w:p>
            <w:pPr>
              <w:spacing w:after="60"/>
              <w:ind w:left="220" w:hanging="160"/>
            </w:pPr>
            <w:r>
              <w:rPr>
                <w:rFonts w:ascii="Arial" w:cs="Arial" w:eastAsia="Arial" w:hAnsi="Arial"/>
                <w:sz w:val="19"/>
                <w:szCs w:val="19"/>
              </w:rPr>
              <w:t xml:space="preserve">• ввоз и вывоз: разрешительный порядок (лицензия, заключение или нотификация по положению о разделе) — Опасные отходы (касается части товаров кода)</w:t>
            </w:r>
          </w:p>
          <w:p>
            <w:pPr>
              <w:spacing w:after="60"/>
            </w:pPr>
            <w:hyperlink w:history="1" r:id="rIddhxmion9ckghp3czab3qz">
              <w:r>
                <w:rPr>
                  <w:rFonts w:ascii="Arial" w:cs="Arial" w:eastAsia="Arial" w:hAnsi="Arial"/>
                  <w:color w:val="1F5FBF"/>
                  <w:sz w:val="17"/>
                  <w:szCs w:val="17"/>
                  <w:u w:val="single"/>
                </w:rPr>
                <w:t xml:space="preserve">Решение Коллегии ЕЭК от 21.04.2015 № 30</w:t>
              </w:r>
            </w:hyperlink>
            <w:r>
              <w:rPr>
                <w:rFonts w:ascii="Arial" w:cs="Arial" w:eastAsia="Arial" w:hAnsi="Arial"/>
                <w:color w:val="5B6472"/>
                <w:sz w:val="17"/>
                <w:szCs w:val="17"/>
              </w:rPr>
              <w:t xml:space="preserve">, раздел 2.3</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Обязательная маркировка</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в перечне товаров с обязательной маркировкой (</w:t>
            </w:r>
            <w:hyperlink w:history="1" r:id="rIdcsw2pfftxw4ajoi9hrui2">
              <w:r>
                <w:rPr>
                  <w:rFonts w:ascii="Arial" w:cs="Arial" w:eastAsia="Arial" w:hAnsi="Arial"/>
                  <w:color w:val="1F5FBF"/>
                  <w:sz w:val="19"/>
                  <w:szCs w:val="19"/>
                  <w:u w:val="single"/>
                </w:rPr>
                <w:t xml:space="preserve">распоряжение № 792-р</w:t>
              </w:r>
            </w:hyperlink>
            <w:r>
              <w:rPr>
                <w:rFonts w:ascii="Arial" w:cs="Arial" w:eastAsia="Arial" w:hAnsi="Arial"/>
                <w:sz w:val="19"/>
                <w:szCs w:val="19"/>
              </w:rPr>
              <w:t xml:space="preserve"> в редакции № 1765-р, № 249-р и № 956-р).</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Разрешительные документы</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Постановление № 2425 «Единый перечень продукции: сертификация и декларирование в РФ»</w:t>
            </w:r>
          </w:p>
          <w:p>
            <w:pPr>
              <w:spacing w:after="60"/>
              <w:ind w:left="220" w:hanging="160"/>
            </w:pPr>
            <w:r>
              <w:rPr>
                <w:rFonts w:ascii="Arial" w:cs="Arial" w:eastAsia="Arial" w:hAnsi="Arial"/>
                <w:sz w:val="19"/>
                <w:szCs w:val="19"/>
              </w:rPr>
              <w:t xml:space="preserve">• декларация о соответствии: Олифы для розничной продажи (касается части товаров кода)</w:t>
            </w:r>
          </w:p>
          <w:p>
            <w:pPr>
              <w:spacing w:after="60"/>
            </w:pPr>
            <w:r>
              <w:rPr>
                <w:rFonts w:ascii="Arial" w:cs="Arial" w:eastAsia="Arial" w:hAnsi="Arial"/>
                <w:sz w:val="19"/>
                <w:szCs w:val="19"/>
              </w:rPr>
              <w:t xml:space="preserve">Свидетельство о государственной регистрации — если товар относится к категориям раздела II Единого перечня (</w:t>
            </w:r>
            <w:hyperlink w:history="1" r:id="rId71v9r2b1s7x3q8hmfcg6a">
              <w:r>
                <w:rPr>
                  <w:rFonts w:ascii="Arial" w:cs="Arial" w:eastAsia="Arial" w:hAnsi="Arial"/>
                  <w:color w:val="1F5FBF"/>
                  <w:sz w:val="19"/>
                  <w:szCs w:val="19"/>
                  <w:u w:val="single"/>
                </w:rPr>
                <w:t xml:space="preserve">решение Комиссии Таможенного союза от 28.05.2010 № 299</w:t>
              </w:r>
            </w:hyperlink>
            <w:r>
              <w:rPr>
                <w:rFonts w:ascii="Arial" w:cs="Arial" w:eastAsia="Arial" w:hAnsi="Arial"/>
                <w:sz w:val="19"/>
                <w:szCs w:val="19"/>
              </w:rPr>
              <w:t xml:space="preserve">: дезсредства, бытовая химия, потенциально опасные вещества, водоподготовка, гигиена для взрослых, изделия для контакта с пищей) и подходит под наименование строки:</w:t>
            </w:r>
          </w:p>
          <w:p>
            <w:pPr>
              <w:spacing w:after="60"/>
              <w:ind w:left="220" w:hanging="160"/>
            </w:pPr>
            <w:r>
              <w:rPr>
                <w:rFonts w:ascii="Arial" w:cs="Arial" w:eastAsia="Arial" w:hAnsi="Arial"/>
                <w:sz w:val="19"/>
                <w:szCs w:val="19"/>
              </w:rPr>
              <w:t xml:space="preserve">• из 3824 — Продукты и препараты химические, химической или смежных отраслей промышленности (включая препараты, состоящие из смесей природных продуктов), в другом месте не поименованные или не включенные, относящиеся к пунктам 6 - 11 настоящего раздела</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Ветеринарный, фитосанитарный и санитарный контроль</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Санитарно-эпидемиологический надзор (контроль) (в перечне названа вся группа: касается товаров с этим наименованием): Материалы, оборудование, вещества, устройства, применяемые в сфере хозяйственно-питьевого водоснабжения и при очистке сточных вод, в плавательных бассейнах; Химическая и нефтехимическая продукция производственного назначения, продукция (товары) бытовой химии, лакокрасочные материалы; Продукция машиностроения и приборостроения производственного, медицинского и бытового назначения, кроме запасных…</w:t>
            </w:r>
          </w:p>
          <w:p>
            <w:pPr>
              <w:spacing w:after="60"/>
            </w:pPr>
            <w:hyperlink w:history="1" r:id="rIdidyqpymcnd23k72z_ukah">
              <w:r>
                <w:rPr>
                  <w:rFonts w:ascii="Arial" w:cs="Arial" w:eastAsia="Arial" w:hAnsi="Arial"/>
                  <w:color w:val="1F5FBF"/>
                  <w:sz w:val="17"/>
                  <w:szCs w:val="17"/>
                  <w:u w:val="single"/>
                </w:rPr>
                <w:t xml:space="preserve">Решение Коллегии Евразийской экономической комиссии от 17.09.2019 № 154</w:t>
              </w:r>
            </w:hyperlink>
          </w:p>
          <w:p>
            <w:pPr>
              <w:spacing w:after="60"/>
              <w:ind w:left="220" w:hanging="160"/>
            </w:pPr>
            <w:r>
              <w:rPr>
                <w:rFonts w:ascii="Arial" w:cs="Arial" w:eastAsia="Arial" w:hAnsi="Arial"/>
                <w:sz w:val="19"/>
                <w:szCs w:val="19"/>
              </w:rPr>
              <w:t xml:space="preserve">• Ветеринарный контроль (надзор) (касается части товаров кода): Кормовые добавки</w:t>
            </w:r>
          </w:p>
          <w:p>
            <w:pPr>
              <w:spacing w:after="60"/>
            </w:pPr>
            <w:hyperlink w:history="1" r:id="rIdgr7fj0zxrynleqm0iwq-i">
              <w:r>
                <w:rPr>
                  <w:rFonts w:ascii="Arial" w:cs="Arial" w:eastAsia="Arial" w:hAnsi="Arial"/>
                  <w:color w:val="1F5FBF"/>
                  <w:sz w:val="17"/>
                  <w:szCs w:val="17"/>
                  <w:u w:val="single"/>
                </w:rPr>
                <w:t xml:space="preserve">Решение Коллегии Евразийской экономической комиссии от 20.01.2020 № 13</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Прочие особенности</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Деревянная упаковка и крепёжный материал (поддоны, ящики, прокладки) должны иметь маркировку по международному стандарту МСФМ № 15 (Единые карантинные фитосанитарные требования, решение Совета ЕЭК от 30.11.2016 № 157).</w:t>
            </w:r>
          </w:p>
          <w:p>
            <w:pPr>
              <w:spacing w:after="60"/>
              <w:ind w:left="220" w:hanging="160"/>
            </w:pPr>
            <w:r>
              <w:rPr>
                <w:rFonts w:ascii="Arial" w:cs="Arial" w:eastAsia="Arial" w:hAnsi="Arial"/>
                <w:sz w:val="19"/>
                <w:szCs w:val="19"/>
              </w:rPr>
              <w:t xml:space="preserve">• Если на товаре есть товарный знак, проверьте его в таможенном реестре объектов интеллектуальной собственности: выпуск товара со знаком из реестра могут приостановить до подтверждения прав. Поиск по реестру: https://imexp.ru/tools/proverka-tovara?tab=trois</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Экспортный контроль</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ни в одном из шести контрольных списков экспортного контроля (</w:t>
            </w:r>
            <w:hyperlink w:history="1" r:id="rIdroamlabrudew-_qjxjxjl">
              <w:r>
                <w:rPr>
                  <w:rFonts w:ascii="Arial" w:cs="Arial" w:eastAsia="Arial" w:hAnsi="Arial"/>
                  <w:color w:val="1F5FBF"/>
                  <w:sz w:val="19"/>
                  <w:szCs w:val="19"/>
                  <w:u w:val="single"/>
                </w:rPr>
                <w:t xml:space="preserve">постановления Правительства РФ от 16.07.2022 № 1284</w:t>
              </w:r>
            </w:hyperlink>
            <w:r>
              <w:rPr>
                <w:rFonts w:ascii="Arial" w:cs="Arial" w:eastAsia="Arial" w:hAnsi="Arial"/>
                <w:sz w:val="19"/>
                <w:szCs w:val="19"/>
              </w:rPr>
              <w:t xml:space="preserve">–1288 и от 19.07.2022 № 1299).</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Классификация</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Решения ЕЭК о классификации отдельных товаров:</w:t>
            </w:r>
          </w:p>
          <w:p>
            <w:pPr>
              <w:spacing w:after="60"/>
              <w:ind w:left="220" w:hanging="160"/>
            </w:pPr>
            <w:r>
              <w:rPr>
                <w:rFonts w:ascii="Arial" w:cs="Arial" w:eastAsia="Arial" w:hAnsi="Arial"/>
                <w:sz w:val="19"/>
                <w:szCs w:val="19"/>
              </w:rPr>
              <w:t xml:space="preserve">• № 168 от 08.11.2022: Невзрывчатый компонент эмульсионных промышленных взрывчатых веществ</w:t>
            </w:r>
          </w:p>
          <w:p>
            <w:pPr>
              <w:spacing w:after="60"/>
              <w:ind w:left="220" w:hanging="160"/>
            </w:pPr>
            <w:r>
              <w:rPr>
                <w:rFonts w:ascii="Arial" w:cs="Arial" w:eastAsia="Arial" w:hAnsi="Arial"/>
                <w:sz w:val="19"/>
                <w:szCs w:val="19"/>
              </w:rPr>
              <w:t xml:space="preserve">• № 15 от 28.01.2020: Гигиенический силикагелевый наполнитель для кошачьего туалета</w:t>
            </w:r>
          </w:p>
          <w:p>
            <w:pPr>
              <w:spacing w:after="60"/>
              <w:ind w:left="220" w:hanging="160"/>
            </w:pPr>
            <w:r>
              <w:rPr>
                <w:rFonts w:ascii="Arial" w:cs="Arial" w:eastAsia="Arial" w:hAnsi="Arial"/>
                <w:sz w:val="19"/>
                <w:szCs w:val="19"/>
              </w:rPr>
              <w:t xml:space="preserve">• </w:t>
            </w:r>
            <w:hyperlink w:history="1" r:id="rIdnex0bxo3uve8ktg6ztmns">
              <w:r>
                <w:rPr>
                  <w:rFonts w:ascii="Arial" w:cs="Arial" w:eastAsia="Arial" w:hAnsi="Arial"/>
                  <w:color w:val="1F5FBF"/>
                  <w:sz w:val="19"/>
                  <w:szCs w:val="19"/>
                  <w:u w:val="single"/>
                </w:rPr>
                <w:t xml:space="preserve">Решение Коллегии ЕЭК № 15 от 28.01.2020</w:t>
              </w:r>
            </w:hyperlink>
            <w:r>
              <w:rPr>
                <w:rFonts w:ascii="Arial" w:cs="Arial" w:eastAsia="Arial" w:hAnsi="Arial"/>
                <w:sz w:val="19"/>
                <w:szCs w:val="19"/>
              </w:rPr>
              <w:t xml:space="preserve">: О классификации гигиенического силикагелевого наполнителя для кошачьего туалета в соответствии с единой Товарной номенклатурой внешнеэкономической деятельности Евразийского экономического союза</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Декларирование</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Графа 33 · Код товара</w:t>
            </w:r>
          </w:p>
          <w:p>
            <w:pPr>
              <w:spacing w:after="60"/>
              <w:ind w:left="220" w:hanging="160"/>
            </w:pPr>
            <w:r>
              <w:rPr>
                <w:rFonts w:ascii="Arial" w:cs="Arial" w:eastAsia="Arial" w:hAnsi="Arial"/>
                <w:sz w:val="19"/>
                <w:szCs w:val="19"/>
              </w:rPr>
              <w:t xml:space="preserve">• 3824300000</w:t>
            </w:r>
          </w:p>
          <w:p>
            <w:pPr>
              <w:spacing w:after="60"/>
              <w:ind w:left="220" w:hanging="160"/>
            </w:pPr>
            <w:r>
              <w:rPr>
                <w:rFonts w:ascii="Arial" w:cs="Arial" w:eastAsia="Arial" w:hAnsi="Arial"/>
                <w:sz w:val="19"/>
                <w:szCs w:val="19"/>
              </w:rPr>
              <w:t xml:space="preserve">• С — во втором подразделе, если товар по характеристикам не подпадает под запреты и ограничения, которые применяются к коду</w:t>
            </w:r>
          </w:p>
          <w:p>
            <w:pPr>
              <w:spacing w:after="60"/>
              <w:ind w:left="220" w:hanging="160"/>
            </w:pPr>
            <w:r>
              <w:rPr>
                <w:rFonts w:ascii="Arial" w:cs="Arial" w:eastAsia="Arial" w:hAnsi="Arial"/>
                <w:sz w:val="19"/>
                <w:szCs w:val="19"/>
              </w:rPr>
              <w:t xml:space="preserve">• О — во втором подразделе, если под одним кодом декларируются товары разных наименований</w:t>
            </w:r>
          </w:p>
          <w:p>
            <w:pPr>
              <w:spacing w:after="60"/>
            </w:pPr>
            <w:r>
              <w:rPr>
                <w:rFonts w:ascii="Arial" w:cs="Arial" w:eastAsia="Arial" w:hAnsi="Arial"/>
                <w:b/>
                <w:bCs/>
                <w:sz w:val="19"/>
                <w:szCs w:val="19"/>
              </w:rPr>
              <w:t xml:space="preserve">Графа 36 · Преференция</w:t>
            </w:r>
          </w:p>
          <w:p>
            <w:pPr>
              <w:spacing w:after="60"/>
              <w:ind w:left="220" w:hanging="160"/>
            </w:pPr>
            <w:r>
              <w:rPr>
                <w:rFonts w:ascii="Arial" w:cs="Arial" w:eastAsia="Arial" w:hAnsi="Arial"/>
                <w:sz w:val="19"/>
                <w:szCs w:val="19"/>
              </w:rPr>
              <w:t xml:space="preserve">• ОООО-ОО — Сборы, пошлина, акциз, НДС: льготы не запрашиваются, акциза нет (прочерк)</w:t>
            </w:r>
          </w:p>
          <w:p>
            <w:pPr>
              <w:spacing w:after="60"/>
              <w:ind w:left="220" w:hanging="160"/>
            </w:pPr>
            <w:r>
              <w:rPr>
                <w:rFonts w:ascii="Arial" w:cs="Arial" w:eastAsia="Arial" w:hAnsi="Arial"/>
                <w:sz w:val="19"/>
                <w:szCs w:val="19"/>
              </w:rPr>
              <w:t xml:space="preserve">• ООНН-ОО — Тарифная преференция в отношении товаров, происходящих из наименее развитых стран · если товар происходит из наименее развитой страны и происхождение подтверждено</w:t>
            </w:r>
          </w:p>
          <w:p>
            <w:pPr>
              <w:spacing w:after="60"/>
            </w:pPr>
            <w:r>
              <w:rPr>
                <w:rFonts w:ascii="Arial" w:cs="Arial" w:eastAsia="Arial" w:hAnsi="Arial"/>
                <w:b/>
                <w:bCs/>
                <w:sz w:val="19"/>
                <w:szCs w:val="19"/>
              </w:rPr>
              <w:t xml:space="preserve">Графа 44 · Представленные документы</w:t>
            </w:r>
          </w:p>
          <w:p>
            <w:pPr>
              <w:spacing w:after="60"/>
              <w:ind w:left="220" w:hanging="160"/>
            </w:pPr>
            <w:r>
              <w:rPr>
                <w:rFonts w:ascii="Arial" w:cs="Arial" w:eastAsia="Arial" w:hAnsi="Arial"/>
                <w:sz w:val="19"/>
                <w:szCs w:val="19"/>
              </w:rPr>
              <w:t xml:space="preserve">• 01408 — Документ об оценке соответствия, предусмотренный законодательством государства – члена Евразийского экономического союза, на территории которого продукция (товар) помещается под таможенные процедуры · Постановление № 2425</w:t>
            </w:r>
          </w:p>
          <w:p>
            <w:pPr>
              <w:spacing w:after="60"/>
              <w:ind w:left="220" w:hanging="160"/>
            </w:pPr>
            <w:r>
              <w:rPr>
                <w:rFonts w:ascii="Arial" w:cs="Arial" w:eastAsia="Arial" w:hAnsi="Arial"/>
                <w:sz w:val="19"/>
                <w:szCs w:val="19"/>
              </w:rPr>
              <w:t xml:space="preserve">• 01206 — Свидетельство о государственной регистрации, выданное уполномоченным органом государства–члена Евразийского экономического союза в области санитарно-эпидемиологического благополучия населения · </w:t>
            </w:r>
            <w:hyperlink w:history="1" r:id="rIdbc89wutsxjw6desgsdd5q">
              <w:r>
                <w:rPr>
                  <w:rFonts w:ascii="Arial" w:cs="Arial" w:eastAsia="Arial" w:hAnsi="Arial"/>
                  <w:color w:val="1F5FBF"/>
                  <w:sz w:val="19"/>
                  <w:szCs w:val="19"/>
                  <w:u w:val="single"/>
                </w:rPr>
                <w:t xml:space="preserve">Решение Комиссии Таможенного союза № 299</w:t>
              </w:r>
            </w:hyperlink>
            <w:r>
              <w:rPr>
                <w:rFonts w:ascii="Arial" w:cs="Arial" w:eastAsia="Arial" w:hAnsi="Arial"/>
                <w:sz w:val="19"/>
                <w:szCs w:val="19"/>
              </w:rPr>
              <w:t xml:space="preserve">, раздел II</w:t>
            </w:r>
          </w:p>
          <w:p>
            <w:pPr>
              <w:spacing w:after="60"/>
              <w:ind w:left="220" w:hanging="160"/>
            </w:pPr>
            <w:r>
              <w:rPr>
                <w:rFonts w:ascii="Arial" w:cs="Arial" w:eastAsia="Arial" w:hAnsi="Arial"/>
                <w:sz w:val="19"/>
                <w:szCs w:val="19"/>
              </w:rPr>
              <w:t xml:space="preserve">• 01201 — Ветеринарный сертификат · </w:t>
            </w:r>
            <w:hyperlink w:history="1" r:id="rId2tvmbnymeryeqenhxarl3">
              <w:r>
                <w:rPr>
                  <w:rFonts w:ascii="Arial" w:cs="Arial" w:eastAsia="Arial" w:hAnsi="Arial"/>
                  <w:color w:val="1F5FBF"/>
                  <w:sz w:val="19"/>
                  <w:szCs w:val="19"/>
                  <w:u w:val="single"/>
                </w:rPr>
                <w:t xml:space="preserve">Решение Коллегии Евразийской экономической комиссии от 20.01.2020 № 13</w:t>
              </w:r>
            </w:hyperlink>
          </w:p>
          <w:p>
            <w:pPr>
              <w:spacing w:after="60"/>
              <w:ind w:left="220" w:hanging="160"/>
            </w:pPr>
            <w:r>
              <w:rPr>
                <w:rFonts w:ascii="Arial" w:cs="Arial" w:eastAsia="Arial" w:hAnsi="Arial"/>
                <w:sz w:val="19"/>
                <w:szCs w:val="19"/>
              </w:rPr>
              <w:t xml:space="preserve">• 01011 — Лицензия на экспорт и (или) импорт товаров · </w:t>
            </w:r>
            <w:hyperlink w:history="1" r:id="rIdc2hcyl5a-hna4exqi_jo3">
              <w:r>
                <w:rPr>
                  <w:rFonts w:ascii="Arial" w:cs="Arial" w:eastAsia="Arial" w:hAnsi="Arial"/>
                  <w:color w:val="1F5FBF"/>
                  <w:sz w:val="19"/>
                  <w:szCs w:val="19"/>
                  <w:u w:val="single"/>
                </w:rPr>
                <w:t xml:space="preserve">Решение Коллегии ЕЭК № 30</w:t>
              </w:r>
            </w:hyperlink>
            <w:r>
              <w:rPr>
                <w:rFonts w:ascii="Arial" w:cs="Arial" w:eastAsia="Arial" w:hAnsi="Arial"/>
                <w:sz w:val="19"/>
                <w:szCs w:val="19"/>
              </w:rPr>
              <w:t xml:space="preserve">, раздел 2.3</w:t>
            </w:r>
          </w:p>
          <w:p>
            <w:pPr>
              <w:spacing w:after="60"/>
              <w:ind w:left="220" w:hanging="160"/>
            </w:pPr>
            <w:r>
              <w:rPr>
                <w:rFonts w:ascii="Arial" w:cs="Arial" w:eastAsia="Arial" w:hAnsi="Arial"/>
                <w:sz w:val="19"/>
                <w:szCs w:val="19"/>
              </w:rPr>
              <w:t xml:space="preserve">• 06013 — Сертификат о происхождении товара формы "А" · если товар ввозится с тарифной преференцией</w:t>
            </w:r>
          </w:p>
          <w:p>
            <w:pPr>
              <w:spacing w:after="60"/>
            </w:pPr>
            <w:r>
              <w:rPr>
                <w:rFonts w:ascii="Arial" w:cs="Arial" w:eastAsia="Arial" w:hAnsi="Arial"/>
                <w:b/>
                <w:bCs/>
                <w:sz w:val="19"/>
                <w:szCs w:val="19"/>
              </w:rPr>
              <w:t xml:space="preserve">Графа 47 · Исчисление платежей</w:t>
            </w:r>
          </w:p>
          <w:p>
            <w:pPr>
              <w:spacing w:after="60"/>
              <w:ind w:left="220" w:hanging="160"/>
            </w:pPr>
            <w:r>
              <w:rPr>
                <w:rFonts w:ascii="Arial" w:cs="Arial" w:eastAsia="Arial" w:hAnsi="Arial"/>
                <w:sz w:val="19"/>
                <w:szCs w:val="19"/>
              </w:rPr>
              <w:t xml:space="preserve">• 1010 — Таможенные сборы за совершение таможенных операций (за таможенное оформление товаров, за таможенное декларирование товаров, за таможенные операции)</w:t>
            </w:r>
          </w:p>
          <w:p>
            <w:pPr>
              <w:spacing w:after="60"/>
              <w:ind w:left="220" w:hanging="160"/>
            </w:pPr>
            <w:r>
              <w:rPr>
                <w:rFonts w:ascii="Arial" w:cs="Arial" w:eastAsia="Arial" w:hAnsi="Arial"/>
                <w:sz w:val="19"/>
                <w:szCs w:val="19"/>
              </w:rPr>
              <w:t xml:space="preserve">• 2010 — Ввозная таможенная пошлина (иные пошлины, налоги и сборы, имеющие эквивалентное действие), обязанность по уплате которой возникла с 1 сентября 2010 г.</w:t>
            </w:r>
          </w:p>
          <w:p>
            <w:pPr>
              <w:spacing w:after="60"/>
              <w:ind w:left="220" w:hanging="160"/>
            </w:pPr>
            <w:r>
              <w:rPr>
                <w:rFonts w:ascii="Arial" w:cs="Arial" w:eastAsia="Arial" w:hAnsi="Arial"/>
                <w:sz w:val="19"/>
                <w:szCs w:val="19"/>
              </w:rPr>
              <w:t xml:space="preserve">• 5010 — Налог на добавленную стоимость</w:t>
            </w:r>
          </w:p>
          <w:p>
            <w:pPr>
              <w:spacing w:after="60"/>
            </w:pPr>
            <w:r>
              <w:rPr>
                <w:rFonts w:ascii="Arial" w:cs="Arial" w:eastAsia="Arial" w:hAnsi="Arial"/>
                <w:color w:val="5B6472"/>
                <w:sz w:val="17"/>
                <w:szCs w:val="17"/>
              </w:rPr>
              <w:t xml:space="preserve">Основание: </w:t>
            </w:r>
            <w:hyperlink w:history="1" r:id="rIdngrvjy-j_wnezjrmbptz-">
              <w:r>
                <w:rPr>
                  <w:rFonts w:ascii="Arial" w:cs="Arial" w:eastAsia="Arial" w:hAnsi="Arial"/>
                  <w:color w:val="1F5FBF"/>
                  <w:sz w:val="17"/>
                  <w:szCs w:val="17"/>
                  <w:u w:val="single"/>
                </w:rPr>
                <w:t xml:space="preserve">Решение Комиссии Таможенного союза от 20.05.2010 № 257</w:t>
              </w:r>
            </w:hyperlink>
            <w:r>
              <w:rPr>
                <w:rFonts w:ascii="Arial" w:cs="Arial" w:eastAsia="Arial" w:hAnsi="Arial"/>
                <w:color w:val="5B6472"/>
                <w:sz w:val="17"/>
                <w:szCs w:val="17"/>
              </w:rPr>
              <w:t xml:space="preserve">; классификаторы — </w:t>
            </w:r>
            <w:hyperlink w:history="1" r:id="rIdqlnwda54dp9n_n5dna_bm">
              <w:r>
                <w:rPr>
                  <w:rFonts w:ascii="Arial" w:cs="Arial" w:eastAsia="Arial" w:hAnsi="Arial"/>
                  <w:color w:val="1F5FBF"/>
                  <w:sz w:val="17"/>
                  <w:szCs w:val="17"/>
                  <w:u w:val="single"/>
                </w:rPr>
                <w:t xml:space="preserve">Решение Комиссии Таможенного союза от 20.09.2010 № 378</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Как менялась ставка</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Решения ЕЭК с 2016 года, в тексте которых назван код: ставка пошлины, тарифные квоты, защитные и антидемпинговые пошлины. Прежняя ставка — в таблице самого решения.</w:t>
            </w:r>
          </w:p>
          <w:p>
            <w:pPr>
              <w:spacing w:after="60"/>
              <w:ind w:left="220" w:hanging="160"/>
            </w:pPr>
            <w:r>
              <w:rPr>
                <w:rFonts w:ascii="Arial" w:cs="Arial" w:eastAsia="Arial" w:hAnsi="Arial"/>
                <w:sz w:val="19"/>
                <w:szCs w:val="19"/>
              </w:rPr>
              <w:t xml:space="preserve">• </w:t>
            </w:r>
            <w:hyperlink w:history="1" r:id="rIdvavy9bxsvfoewikleaddf">
              <w:r>
                <w:rPr>
                  <w:rFonts w:ascii="Arial" w:cs="Arial" w:eastAsia="Arial" w:hAnsi="Arial"/>
                  <w:color w:val="1F5FBF"/>
                  <w:sz w:val="19"/>
                  <w:szCs w:val="19"/>
                  <w:u w:val="single"/>
                </w:rPr>
                <w:t xml:space="preserve">Решение Коллегии ЕЭК № 113 от 25.08.2026</w:t>
              </w:r>
            </w:hyperlink>
            <w:r>
              <w:rPr>
                <w:rFonts w:ascii="Arial" w:cs="Arial" w:eastAsia="Arial" w:hAnsi="Arial"/>
                <w:sz w:val="19"/>
                <w:szCs w:val="19"/>
              </w:rPr>
              <w:t xml:space="preserve"> — О применении ставок ввозных таможенных пошлин в отношении товаров, происходящих из Объединенных Арабских Эмиратов и ввозимых на таможенную территорию Евразийского экономического союза (вступило в силу 06.10.2026)</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Другие решения ЕЭК по коду</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w:t>
            </w:r>
            <w:hyperlink w:history="1" r:id="rIdhwrwwblpb66mg_fxqqodt">
              <w:r>
                <w:rPr>
                  <w:rFonts w:ascii="Arial" w:cs="Arial" w:eastAsia="Arial" w:hAnsi="Arial"/>
                  <w:color w:val="1F5FBF"/>
                  <w:sz w:val="19"/>
                  <w:szCs w:val="19"/>
                  <w:u w:val="single"/>
                </w:rPr>
                <w:t xml:space="preserve">Решение Совета ЕЭК № 1 от 24.01.2025</w:t>
              </w:r>
            </w:hyperlink>
            <w:r>
              <w:rPr>
                <w:rFonts w:ascii="Arial" w:cs="Arial" w:eastAsia="Arial" w:hAnsi="Arial"/>
                <w:sz w:val="19"/>
                <w:szCs w:val="19"/>
              </w:rPr>
              <w:t xml:space="preserve"> — О внесении изменений в Решение Совета Евразийской экономической комиссии от 23 ноября 2020 г. № 105 (вступило в силу 03.02.2025)</w:t>
            </w:r>
          </w:p>
          <w:p>
            <w:pPr>
              <w:spacing w:after="60"/>
              <w:ind w:left="220" w:hanging="160"/>
            </w:pPr>
            <w:r>
              <w:rPr>
                <w:rFonts w:ascii="Arial" w:cs="Arial" w:eastAsia="Arial" w:hAnsi="Arial"/>
                <w:sz w:val="19"/>
                <w:szCs w:val="19"/>
              </w:rPr>
              <w:t xml:space="preserve">• </w:t>
            </w:r>
            <w:hyperlink w:history="1" r:id="rIdadzysxbcea2mznovdph2j">
              <w:r>
                <w:rPr>
                  <w:rFonts w:ascii="Arial" w:cs="Arial" w:eastAsia="Arial" w:hAnsi="Arial"/>
                  <w:color w:val="1F5FBF"/>
                  <w:sz w:val="19"/>
                  <w:szCs w:val="19"/>
                  <w:u w:val="single"/>
                </w:rPr>
                <w:t xml:space="preserve">Решение Совета ЕЭК № 134 от 02.12.2021</w:t>
              </w:r>
            </w:hyperlink>
            <w:r>
              <w:rPr>
                <w:rFonts w:ascii="Arial" w:cs="Arial" w:eastAsia="Arial" w:hAnsi="Arial"/>
                <w:sz w:val="19"/>
                <w:szCs w:val="19"/>
              </w:rPr>
              <w:t xml:space="preserve"> — О внесении изменения в Единый перечень товаров, подлежащих ветеринарному контролю (надзору) (вступило в силу 02.01.2022)</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Переходные ключи ОКПД2</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Ключей для этого кода в таблице Минэкономразвития нет.</w:t>
            </w:r>
          </w:p>
        </w:tc>
      </w:tr>
    </w:tbl>
    <w:p>
      <w:pPr>
        <w:spacing w:after="60" w:before="240"/>
      </w:pPr>
    </w:p>
    <w:p>
      <w:pPr>
        <w:spacing w:after="60"/>
      </w:pPr>
      <w:r>
        <w:rPr>
          <w:rFonts w:ascii="Arial" w:cs="Arial" w:eastAsia="Arial" w:hAnsi="Arial"/>
          <w:color w:val="5B6472"/>
          <w:sz w:val="17"/>
          <w:szCs w:val="17"/>
        </w:rPr>
        <w:t xml:space="preserve">Справка собрана автоматически по официальным актам ЕАЭС и России. Меры, найденные по началу кода, помечены как касающиеся части товаров: применима ли мера к вашему товару, решают его характеристики и документы поставки. Справка не заменяет решение по классификации.</w:t>
      </w:r>
    </w:p>
    <w:p>
      <w:pPr>
        <w:spacing w:after="60"/>
      </w:pPr>
      <w:r>
        <w:rPr>
          <w:rFonts w:ascii="Arial" w:cs="Arial" w:eastAsia="Arial" w:hAnsi="Arial"/>
          <w:color w:val="5B6472"/>
          <w:sz w:val="17"/>
          <w:szCs w:val="17"/>
        </w:rPr>
        <w:t xml:space="preserve">Разъяснительные письма таможни и судебная практика в справку не входят. Проверку кода под ваш товар с обоснованием можно заказать на странице кода.</w:t>
      </w:r>
    </w:p>
    <w:p>
      <w:pPr>
        <w:jc w:val="left"/>
      </w:pPr>
      <w:r>
        <w:rPr>
          <w:rFonts w:ascii="Arial" w:cs="Arial" w:eastAsia="Arial" w:hAnsi="Arial"/>
          <w:color w:val="1F5FBF"/>
          <w:sz w:val="17"/>
          <w:szCs w:val="17"/>
        </w:rPr>
        <w:t xml:space="preserve">https://imexp.ru/katalog/kod/3824300000</w:t>
      </w:r>
    </w:p>
    <w:sectPr>
      <w:pgSz w:w="11906" w:h="16838" w:orient="portrait"/>
      <w:pgMar w:top="851" w:right="851" w:bottom="851" w:left="851"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9roialbkd5dkul1aqe6x7" Type="http://schemas.openxmlformats.org/officeDocument/2006/relationships/hyperlink" Target="https://docs.eaeunion.org/documents/386/6099/" TargetMode="External"/><Relationship Id="rIdiobkgz1oxurideqqom1ip" Type="http://schemas.openxmlformats.org/officeDocument/2006/relationships/hyperlink" Target="https://docs.eaeunion.org/documents/386/6099/" TargetMode="External"/><Relationship Id="rIdcmylhyizpk6xbarhr04wb" Type="http://schemas.openxmlformats.org/officeDocument/2006/relationships/hyperlink" Target="http://publication.pravo.gov.ru/document/0001202203140039" TargetMode="External"/><Relationship Id="rIdzz0ozwvxwqc5zpm8mzxmg" Type="http://schemas.openxmlformats.org/officeDocument/2006/relationships/hyperlink" Target="https://docs.eaeunion.org/documents/211/8993/" TargetMode="External"/><Relationship Id="rId9rc_2wk39lax8bouwqrs0" Type="http://schemas.openxmlformats.org/officeDocument/2006/relationships/hyperlink" Target="https://docs.eaeunion.org/documents/335/4666/" TargetMode="External"/><Relationship Id="rIdpfyotvr4es9j5s5ueoeqd" Type="http://schemas.openxmlformats.org/officeDocument/2006/relationships/hyperlink" Target="https://docs.eaeunion.org/documents/247/4939/" TargetMode="External"/><Relationship Id="rIdw6ko_-9kct8yov3liazxo" Type="http://schemas.openxmlformats.org/officeDocument/2006/relationships/hyperlink" Target="https://docs.eaeunion.org/documents/292/1553/" TargetMode="External"/><Relationship Id="rIdfcrqgsjlzgv_pcc9f40ex" Type="http://schemas.openxmlformats.org/officeDocument/2006/relationships/hyperlink" Target="https://docs.eaeunion.org/documents/292/1553/" TargetMode="External"/><Relationship Id="rIdn1tejcob-htgv68brc1gz" Type="http://schemas.openxmlformats.org/officeDocument/2006/relationships/hyperlink" Target="http://publication.pravo.gov.ru/document/0001202308040119" TargetMode="External"/><Relationship Id="rIdhioghrkyey7ikvbjvcqzt" Type="http://schemas.openxmlformats.org/officeDocument/2006/relationships/hyperlink" Target="https://eur-lex.europa.eu/eli/reg/2014/833/oj/eng" TargetMode="External"/><Relationship Id="rIde6vceyba1b4rko_6fvghq" Type="http://schemas.openxmlformats.org/officeDocument/2006/relationships/hyperlink" Target="https://www.legislation.gov.uk/uksi/2019/855/contents" TargetMode="External"/><Relationship Id="rIdroqcamghqdfbjrj2ntj_j" Type="http://schemas.openxmlformats.org/officeDocument/2006/relationships/hyperlink" Target="http://publication.pravo.gov.ru/document/0001202308040119" TargetMode="External"/><Relationship Id="rIdbsp83b4wtatarpnxvc45z" Type="http://schemas.openxmlformats.org/officeDocument/2006/relationships/hyperlink" Target="https://docs.eaeunion.org/documents/386/6099/" TargetMode="External"/><Relationship Id="rIdkpai1j5jdtwt5euvef3qh" Type="http://schemas.openxmlformats.org/officeDocument/2006/relationships/hyperlink" Target="https://docs.eaeunion.org/documents/317/2804/" TargetMode="External"/><Relationship Id="rIdaxacscokvqxwvqpfvzdlc" Type="http://schemas.openxmlformats.org/officeDocument/2006/relationships/hyperlink" Target="http://publication.pravo.gov.ru/document/0001202411290098" TargetMode="External"/><Relationship Id="rId9nrwdkm9l3v5omoqgkeeb" Type="http://schemas.openxmlformats.org/officeDocument/2006/relationships/hyperlink" Target="https://docs.eaeunion.org/documents/292/1553/" TargetMode="External"/><Relationship Id="rIddhxmion9ckghp3czab3qz" Type="http://schemas.openxmlformats.org/officeDocument/2006/relationships/hyperlink" Target="https://docs.eaeunion.org/documents/292/1553/" TargetMode="External"/><Relationship Id="rIdcsw2pfftxw4ajoi9hrui2" Type="http://schemas.openxmlformats.org/officeDocument/2006/relationships/hyperlink" Target="http://publication.pravo.gov.ru/document/0001201805040007" TargetMode="External"/><Relationship Id="rId71v9r2b1s7x3q8hmfcg6a" Type="http://schemas.openxmlformats.org/officeDocument/2006/relationships/hyperlink" Target="https://docs.eaeunion.org/documents/211/8993/" TargetMode="External"/><Relationship Id="rIdidyqpymcnd23k72z_ukah" Type="http://schemas.openxmlformats.org/officeDocument/2006/relationships/hyperlink" Target="https://docs.eaeunion.org/documents/335/4666/" TargetMode="External"/><Relationship Id="rIdgr7fj0zxrynleqm0iwq-i" Type="http://schemas.openxmlformats.org/officeDocument/2006/relationships/hyperlink" Target="https://docs.eaeunion.org/documents/247/4939/" TargetMode="External"/><Relationship Id="rIdroamlabrudew-_qjxjxjl" Type="http://schemas.openxmlformats.org/officeDocument/2006/relationships/hyperlink" Target="http://publication.pravo.gov.ru/document/0001202207190026" TargetMode="External"/><Relationship Id="rIdnex0bxo3uve8ktg6ztmns" Type="http://schemas.openxmlformats.org/officeDocument/2006/relationships/hyperlink" Target="https://docs.eaeunion.org/documents/247/4950/" TargetMode="External"/><Relationship Id="rIdbc89wutsxjw6desgsdd5q" Type="http://schemas.openxmlformats.org/officeDocument/2006/relationships/hyperlink" Target="https://docs.eaeunion.org/documents/211/8993/" TargetMode="External"/><Relationship Id="rId2tvmbnymeryeqenhxarl3" Type="http://schemas.openxmlformats.org/officeDocument/2006/relationships/hyperlink" Target="https://docs.eaeunion.org/documents/247/4939/" TargetMode="External"/><Relationship Id="rIdc2hcyl5a-hna4exqi_jo3" Type="http://schemas.openxmlformats.org/officeDocument/2006/relationships/hyperlink" Target="https://docs.eaeunion.org/documents/292/1553/" TargetMode="External"/><Relationship Id="rIdngrvjy-j_wnezjrmbptz-" Type="http://schemas.openxmlformats.org/officeDocument/2006/relationships/hyperlink" Target="https://docs.eaeunion.org/documents/214/946/" TargetMode="External"/><Relationship Id="rIdqlnwda54dp9n_n5dna_bm" Type="http://schemas.openxmlformats.org/officeDocument/2006/relationships/hyperlink" Target="https://docs.eaeunion.org/documents/208/8939/" TargetMode="External"/><Relationship Id="rIdvavy9bxsvfoewikleaddf" Type="http://schemas.openxmlformats.org/officeDocument/2006/relationships/hyperlink" Target="https://docs.eaeunion.org/documents/463/10896/" TargetMode="External"/><Relationship Id="rIdhwrwwblpb66mg_fxqqodt" Type="http://schemas.openxmlformats.org/officeDocument/2006/relationships/hyperlink" Target="https://docs.eaeunion.org/documents/447/9823/" TargetMode="External"/><Relationship Id="rIdadzysxbcea2mznovdph2j" Type="http://schemas.openxmlformats.org/officeDocument/2006/relationships/hyperlink" Target="https://docs.eaeunion.org/documents/386/6260/" TargetMode="External"/><Relationship Id="rId3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Справка о товаре 3824 30 000 0</dc:title>
  <dc:creator>IMEXP</dc:creator>
  <cp:lastModifiedBy>Un-named</cp:lastModifiedBy>
  <cp:revision>1</cp:revision>
  <dcterms:created xsi:type="dcterms:W3CDTF">2026-10-30T07:30:47.070Z</dcterms:created>
  <dcterms:modified xsi:type="dcterms:W3CDTF">2026-10-30T07:30:47.070Z</dcterms:modified>
</cp:coreProperties>
</file>

<file path=docProps/custom.xml><?xml version="1.0" encoding="utf-8"?>
<Properties xmlns="http://schemas.openxmlformats.org/officeDocument/2006/custom-properties" xmlns:vt="http://schemas.openxmlformats.org/officeDocument/2006/docPropsVTypes"/>
</file>