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3911 90 190 0</w:t>
      </w:r>
    </w:p>
    <w:p>
      <w:pPr>
        <w:spacing w:after="200"/>
      </w:pPr>
      <w:r>
        <w:rPr>
          <w:rFonts w:ascii="Arial" w:cs="Arial" w:eastAsia="Arial" w:hAnsi="Arial"/>
          <w:color w:val="5B6472"/>
          <w:sz w:val="19"/>
          <w:szCs w:val="19"/>
        </w:rPr>
        <w:t xml:space="preserve">Сведения на 31.10.2026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VII. Пластмассы и изделия из них; каучук, резина и изделия из них</w:t>
            </w:r>
          </w:p>
          <w:p>
            <w:pPr>
              <w:spacing w:after="60"/>
            </w:pPr>
            <w:r>
              <w:rPr>
                <w:rFonts w:ascii="Arial" w:cs="Arial" w:eastAsia="Arial" w:hAnsi="Arial"/>
                <w:color w:val="5B6472"/>
                <w:sz w:val="17"/>
                <w:szCs w:val="17"/>
              </w:rPr>
              <w:t xml:space="preserve">39 — ПЛАСТМАССЫ И ИЗДЕЛИЯ ИЗ НИХ</w:t>
            </w:r>
          </w:p>
          <w:p>
            <w:pPr>
              <w:spacing w:after="60"/>
            </w:pPr>
            <w:r>
              <w:rPr>
                <w:rFonts w:ascii="Arial" w:cs="Arial" w:eastAsia="Arial" w:hAnsi="Arial"/>
                <w:color w:val="5B6472"/>
                <w:sz w:val="17"/>
                <w:szCs w:val="17"/>
              </w:rPr>
              <w:t xml:space="preserve">3911 — Смолы нефтяные, смолы кумароно-инденовые, политерпены, полисульфиды, полисульфоны и продукты прочие, указанные в примечании 3 к данной группе, в первичных формах, в другом месте не поименованные или не включенные</w:t>
            </w:r>
          </w:p>
          <w:p>
            <w:pPr>
              <w:spacing w:after="60"/>
            </w:pPr>
            <w:r>
              <w:rPr>
                <w:rFonts w:ascii="Arial" w:cs="Arial" w:eastAsia="Arial" w:hAnsi="Arial"/>
                <w:color w:val="5B6472"/>
                <w:sz w:val="17"/>
                <w:szCs w:val="17"/>
              </w:rPr>
              <w:t xml:space="preserve">3911 90 — Прочие</w:t>
            </w:r>
          </w:p>
          <w:p>
            <w:pPr>
              <w:spacing w:after="60"/>
            </w:pPr>
            <w:r>
              <w:rPr>
                <w:rFonts w:ascii="Arial" w:cs="Arial" w:eastAsia="Arial" w:hAnsi="Arial"/>
                <w:color w:val="5B6472"/>
                <w:sz w:val="17"/>
                <w:szCs w:val="17"/>
              </w:rPr>
              <w:t xml:space="preserve">3911 90 19 — Прочие: продукты конденсации или продукты полимеризации с перегруппировкой, химически модифицированные или немодифицированные: прочие</w:t>
            </w:r>
          </w:p>
          <w:p>
            <w:pPr>
              <w:spacing w:after="60"/>
            </w:pPr>
            <w:r>
              <w:rPr>
                <w:rFonts w:ascii="Arial" w:cs="Arial" w:eastAsia="Arial" w:hAnsi="Arial"/>
                <w:b/>
                <w:bCs/>
                <w:sz w:val="19"/>
                <w:szCs w:val="19"/>
              </w:rPr>
              <w:t xml:space="preserve">3911 90 190 0 — Прочие: продукты конденсации или продукты полимеризации с перегруппировкой, химически модифицированные или немодифицированные: прочие</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wtrapm-b3gwljteqi8o_7">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qcra1hi-odjs1hc44n6v0">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Декларация о соответствии — </w:t>
            </w:r>
            <w:hyperlink w:history="1" r:id="rIdzijmjlu7upj2zadmf-dr0">
              <w:r>
                <w:rPr>
                  <w:rFonts w:ascii="Arial" w:cs="Arial" w:eastAsia="Arial" w:hAnsi="Arial"/>
                  <w:color w:val="1F5FBF"/>
                  <w:sz w:val="19"/>
                  <w:szCs w:val="19"/>
                  <w:u w:val="single"/>
                </w:rPr>
                <w:t xml:space="preserve">ТР ТС 019/2011</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Декларация на собственных доказательствах (вместо сертификата) — </w:t>
            </w:r>
            <w:hyperlink w:history="1" r:id="rIdjpor0sm2_wv4gkjglixuf">
              <w:r>
                <w:rPr>
                  <w:rFonts w:ascii="Arial" w:cs="Arial" w:eastAsia="Arial" w:hAnsi="Arial"/>
                  <w:color w:val="1F5FBF"/>
                  <w:sz w:val="19"/>
                  <w:szCs w:val="19"/>
                  <w:u w:val="single"/>
                </w:rPr>
                <w:t xml:space="preserve">Постановление Правительства РФ № 353</w:t>
              </w:r>
            </w:hyperlink>
            <w:r>
              <w:rPr>
                <w:rFonts w:ascii="Arial" w:cs="Arial" w:eastAsia="Arial" w:hAnsi="Arial"/>
                <w:sz w:val="19"/>
                <w:szCs w:val="19"/>
              </w:rPr>
              <w:t xml:space="preserve">, приложение № 18, пункт 6 (до 01.09.2027 на партию товара; заявитель: российское юрлицо или ИП; декларация на 6 месяцев, без знака ЕАС)</w:t>
            </w:r>
          </w:p>
          <w:p>
            <w:pPr>
              <w:spacing w:after="60"/>
              <w:ind w:left="220" w:hanging="160"/>
            </w:pPr>
            <w:r>
              <w:rPr>
                <w:rFonts w:ascii="Arial" w:cs="Arial" w:eastAsia="Arial" w:hAnsi="Arial"/>
                <w:sz w:val="19"/>
                <w:szCs w:val="19"/>
              </w:rPr>
              <w:t xml:space="preserve">• Свидетельство о госрегистрации (СГР) — </w:t>
            </w:r>
            <w:hyperlink w:history="1" r:id="rIdme_tdf3q7sszyfzk5nj6t">
              <w:r>
                <w:rPr>
                  <w:rFonts w:ascii="Arial" w:cs="Arial" w:eastAsia="Arial" w:hAnsi="Arial"/>
                  <w:color w:val="1F5FBF"/>
                  <w:sz w:val="19"/>
                  <w:szCs w:val="19"/>
                  <w:u w:val="single"/>
                </w:rPr>
                <w:t xml:space="preserve">Решение Комиссии Таможенного союза № 299</w:t>
              </w:r>
            </w:hyperlink>
            <w:r>
              <w:rPr>
                <w:rFonts w:ascii="Arial" w:cs="Arial" w:eastAsia="Arial" w:hAnsi="Arial"/>
                <w:sz w:val="19"/>
                <w:szCs w:val="19"/>
              </w:rPr>
              <w:t xml:space="preserve">, раздел II (если товар относится к этому виду)</w:t>
            </w:r>
          </w:p>
          <w:p>
            <w:pPr>
              <w:spacing w:after="60"/>
              <w:ind w:left="220" w:hanging="160"/>
            </w:pPr>
            <w:r>
              <w:rPr>
                <w:rFonts w:ascii="Arial" w:cs="Arial" w:eastAsia="Arial" w:hAnsi="Arial"/>
                <w:sz w:val="19"/>
                <w:szCs w:val="19"/>
              </w:rPr>
              <w:t xml:space="preserve">• Санитарно-эпидемиологический надзор — </w:t>
            </w:r>
            <w:hyperlink w:history="1" r:id="rIdkhcsvwsuqt9tpzl8dqydu">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jqktk_kevuwlnuido2onu">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61 (только для товарных знаков из перечня)</w:t>
            </w:r>
          </w:p>
          <w:p>
            <w:pPr>
              <w:spacing w:after="60"/>
              <w:ind w:left="220" w:hanging="160"/>
            </w:pPr>
            <w:r>
              <w:rPr>
                <w:rFonts w:ascii="Arial" w:cs="Arial" w:eastAsia="Arial" w:hAnsi="Arial"/>
                <w:sz w:val="19"/>
                <w:szCs w:val="19"/>
              </w:rPr>
              <w:t xml:space="preserve">• Не товар для личного пользования — Решение Совета ЕЭК № 107, приложение № 6, пункт 28 (пластмассы в первичных формах) (касается физлиц: такой товар перемещают как коммерческий груз)</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y3sg-aqxlol1fuloswjya">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XXIII (промышленные товары)</w:t>
            </w:r>
          </w:p>
          <w:p>
            <w:pPr>
              <w:spacing w:after="60"/>
              <w:ind w:left="220" w:hanging="160"/>
            </w:pPr>
            <w:r>
              <w:rPr>
                <w:rFonts w:ascii="Arial" w:cs="Arial" w:eastAsia="Arial" w:hAnsi="Arial"/>
                <w:sz w:val="19"/>
                <w:szCs w:val="19"/>
              </w:rPr>
              <w:t xml:space="preserve">• Великобритания: </w:t>
            </w:r>
            <w:hyperlink w:history="1" r:id="rId-eb9rc_zioujmai3bm__l">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3E (товары зависимости G7)</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dzab6w40ttywh00i_5wlt">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61 (39): ACURA, AE, ALFA ROMEO, ASTON MARTIN, AUDI, BASF, BENTLEY, BERAL, BERU, BLUEPRINT, BMW, BOSCH, BREMBO, BUGATTI, CADILLAC, CASE, CASE IH AGRICULTURE, CHAMPION, CHEVROLET, CHRYSLER, CLAAS, CONTITECH, DAEWOO, DAF TRUCKS, DAIHATSU, DAIMLER, DATSUN, DAYCO, DELPHI,…</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6,5% — ставка Единого таможенного тарифа ЕАЭС</w:t>
            </w:r>
          </w:p>
          <w:p>
            <w:pPr>
              <w:spacing w:after="60"/>
            </w:pPr>
            <w:r>
              <w:rPr>
                <w:rFonts w:ascii="Arial" w:cs="Arial" w:eastAsia="Arial" w:hAnsi="Arial"/>
                <w:color w:val="5B6472"/>
                <w:sz w:val="17"/>
                <w:szCs w:val="17"/>
              </w:rPr>
              <w:t xml:space="preserve">Решение Совета ЕЭК № 13 от 30.01.2026; ставка действует с 08.03.2026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bc0cvkdfnl1ihcqrfddq4">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gstcxzranxdf23xn_2m_6">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hyperlink w:history="1" r:id="rIdfpjn5mhimv_v_mcy63wrr">
              <w:r>
                <w:rPr>
                  <w:rFonts w:ascii="Arial" w:cs="Arial" w:eastAsia="Arial" w:hAnsi="Arial"/>
                  <w:b/>
                  <w:bCs/>
                  <w:color w:val="1F5FBF"/>
                  <w:sz w:val="19"/>
                  <w:szCs w:val="19"/>
                  <w:u w:val="single"/>
                </w:rPr>
                <w:t xml:space="preserve">ТР ТС 019/2011</w:t>
              </w:r>
            </w:hyperlink>
            <w:r>
              <w:rPr>
                <w:rFonts w:ascii="Arial" w:cs="Arial" w:eastAsia="Arial" w:hAnsi="Arial"/>
                <w:b/>
                <w:bCs/>
                <w:sz w:val="19"/>
                <w:szCs w:val="19"/>
              </w:rPr>
              <w:t xml:space="preserve"> «О безопасности средств индивидуальной защиты»</w:t>
            </w:r>
          </w:p>
          <w:p>
            <w:pPr>
              <w:spacing w:after="60"/>
              <w:ind w:left="220" w:hanging="160"/>
            </w:pPr>
            <w:r>
              <w:rPr>
                <w:rFonts w:ascii="Arial" w:cs="Arial" w:eastAsia="Arial" w:hAnsi="Arial"/>
                <w:sz w:val="19"/>
                <w:szCs w:val="19"/>
              </w:rPr>
              <w:t xml:space="preserve">• декларация о соответствии: Противошумные вкладыши (беруши) (касается части товаров кода)</w:t>
            </w:r>
          </w:p>
          <w:p>
            <w:pPr>
              <w:spacing w:after="60"/>
            </w:pPr>
            <w:r>
              <w:rPr>
                <w:rFonts w:ascii="Arial" w:cs="Arial" w:eastAsia="Arial" w:hAnsi="Arial"/>
                <w:sz w:val="19"/>
                <w:szCs w:val="19"/>
              </w:rPr>
              <w:t xml:space="preserve">Свидетельство о государственной регистрации — если товар относится к категориям раздела II Единого перечня (</w:t>
            </w:r>
            <w:hyperlink w:history="1" r:id="rIdhvef_gvbpcugqd1ejx-wy">
              <w:r>
                <w:rPr>
                  <w:rFonts w:ascii="Arial" w:cs="Arial" w:eastAsia="Arial" w:hAnsi="Arial"/>
                  <w:color w:val="1F5FBF"/>
                  <w:sz w:val="19"/>
                  <w:szCs w:val="19"/>
                  <w:u w:val="single"/>
                </w:rPr>
                <w:t xml:space="preserve">решение Комиссии Таможенного союза от 28.05.2010 № 299</w:t>
              </w:r>
            </w:hyperlink>
            <w:r>
              <w:rPr>
                <w:rFonts w:ascii="Arial" w:cs="Arial" w:eastAsia="Arial" w:hAnsi="Arial"/>
                <w:sz w:val="19"/>
                <w:szCs w:val="19"/>
              </w:rPr>
              <w:t xml:space="preserve">: дезсредства, бытовая химия, потенциально опасные вещества, водоподготовка, гигиена для взрослых, изделия для контакта с пищей) и подходит под наименование строки:</w:t>
            </w:r>
          </w:p>
          <w:p>
            <w:pPr>
              <w:spacing w:after="60"/>
              <w:ind w:left="220" w:hanging="160"/>
            </w:pPr>
            <w:r>
              <w:rPr>
                <w:rFonts w:ascii="Arial" w:cs="Arial" w:eastAsia="Arial" w:hAnsi="Arial"/>
                <w:sz w:val="19"/>
                <w:szCs w:val="19"/>
              </w:rPr>
              <w:t xml:space="preserve">• из 3901–3911 — Первичные формы, предназначенные для использования в практике хозяйственно-питьевого водоснабжения или при производстве пищевых продуктов</w:t>
            </w:r>
          </w:p>
          <w:p>
            <w:pPr>
              <w:spacing w:after="60"/>
            </w:pPr>
            <w:r>
              <w:rPr>
                <w:rFonts w:ascii="Arial" w:cs="Arial" w:eastAsia="Arial" w:hAnsi="Arial"/>
                <w:color w:val="5B6472"/>
                <w:sz w:val="17"/>
                <w:szCs w:val="17"/>
              </w:rPr>
              <w:t xml:space="preserve">На практике по субпозиции 3911 90 действует сертификатов: 0, деклараций: 2; по </w:t>
            </w:r>
            <w:hyperlink w:history="1" r:id="rIdbfw4bhh8fg75fm2rfol3s">
              <w:r>
                <w:rPr>
                  <w:rFonts w:ascii="Arial" w:cs="Arial" w:eastAsia="Arial" w:hAnsi="Arial"/>
                  <w:color w:val="1F5FBF"/>
                  <w:sz w:val="17"/>
                  <w:szCs w:val="17"/>
                  <w:u w:val="single"/>
                </w:rPr>
                <w:t xml:space="preserve">ТР ТС 029/2012</w:t>
              </w:r>
            </w:hyperlink>
            <w:r>
              <w:rPr>
                <w:rFonts w:ascii="Arial" w:cs="Arial" w:eastAsia="Arial" w:hAnsi="Arial"/>
                <w:color w:val="5B6472"/>
                <w:sz w:val="17"/>
                <w:szCs w:val="17"/>
              </w:rPr>
              <w:t xml:space="preserve">, </w:t>
            </w:r>
            <w:hyperlink w:history="1" r:id="rIdbbutvvt1bxuzdyb_woxqe">
              <w:r>
                <w:rPr>
                  <w:rFonts w:ascii="Arial" w:cs="Arial" w:eastAsia="Arial" w:hAnsi="Arial"/>
                  <w:color w:val="1F5FBF"/>
                  <w:sz w:val="17"/>
                  <w:szCs w:val="17"/>
                  <w:u w:val="single"/>
                </w:rPr>
                <w:t xml:space="preserve">ТР ТС 021/2011</w:t>
              </w:r>
            </w:hyperlink>
            <w:r>
              <w:rPr>
                <w:rFonts w:ascii="Arial" w:cs="Arial" w:eastAsia="Arial" w:hAnsi="Arial"/>
                <w:color w:val="5B6472"/>
                <w:sz w:val="17"/>
                <w:szCs w:val="17"/>
              </w:rPr>
              <w:t xml:space="preserve">, </w:t>
            </w:r>
            <w:hyperlink w:history="1" r:id="rIdgo1x97u9qp7vblbp4vuvg">
              <w:r>
                <w:rPr>
                  <w:rFonts w:ascii="Arial" w:cs="Arial" w:eastAsia="Arial" w:hAnsi="Arial"/>
                  <w:color w:val="1F5FBF"/>
                  <w:sz w:val="17"/>
                  <w:szCs w:val="17"/>
                  <w:u w:val="single"/>
                </w:rPr>
                <w:t xml:space="preserve">ТР ТС 022/2011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(товары) для детей: игры и игрушки, постельное белье, одежда, обувь, учебные пособия, мебель, коляски, сумки (ранцы, рюкзаки, портфели и т. п.), дневники и аналогичные изделия, тетради, прочая канцелярская продукция (товары) из бумаги и картона, принадлежности канцелярские или школьные искусственные полимерные и синтетические материалы для изготовления продукции (товаров) детского…</w:t>
            </w:r>
          </w:p>
          <w:p>
            <w:pPr>
              <w:spacing w:after="60"/>
            </w:pPr>
            <w:hyperlink w:history="1" r:id="rIda_azz4ydwlb_qbeqeen2a">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wzdcg-tc6bncwp1ow0kb9">
              <w:r>
                <w:rPr>
                  <w:rFonts w:ascii="Arial" w:cs="Arial" w:eastAsia="Arial" w:hAnsi="Arial"/>
                  <w:color w:val="1F5FBF"/>
                  <w:sz w:val="19"/>
                  <w:szCs w:val="19"/>
                  <w:u w:val="single"/>
                </w:rPr>
                <w:t xml:space="preserve">Постановление № 1299</w:t>
              </w:r>
            </w:hyperlink>
            <w:r>
              <w:rPr>
                <w:rFonts w:ascii="Arial" w:cs="Arial" w:eastAsia="Arial" w:hAnsi="Arial"/>
                <w:sz w:val="19"/>
                <w:szCs w:val="19"/>
              </w:rPr>
              <w:t xml:space="preserve">, пункт 1.3.8.3: Полиариленовые сульфиды, где ариленовая группа представляет собой бифенилен, трифенилен или их комбинации;</w:t>
            </w:r>
          </w:p>
          <w:p>
            <w:pPr>
              <w:spacing w:after="60"/>
              <w:ind w:left="220" w:hanging="160"/>
            </w:pPr>
            <w:r>
              <w:rPr>
                <w:rFonts w:ascii="Arial" w:cs="Arial" w:eastAsia="Arial" w:hAnsi="Arial"/>
                <w:sz w:val="19"/>
                <w:szCs w:val="19"/>
              </w:rPr>
              <w:t xml:space="preserve">• </w:t>
            </w:r>
            <w:hyperlink w:history="1" r:id="rIdu28oxv--3cjonl5lz-a5k">
              <w:r>
                <w:rPr>
                  <w:rFonts w:ascii="Arial" w:cs="Arial" w:eastAsia="Arial" w:hAnsi="Arial"/>
                  <w:color w:val="1F5FBF"/>
                  <w:sz w:val="19"/>
                  <w:szCs w:val="19"/>
                  <w:u w:val="single"/>
                </w:rPr>
                <w:t xml:space="preserve">Постановление № 1299</w:t>
              </w:r>
            </w:hyperlink>
            <w:r>
              <w:rPr>
                <w:rFonts w:ascii="Arial" w:cs="Arial" w:eastAsia="Arial" w:hAnsi="Arial"/>
                <w:sz w:val="19"/>
                <w:szCs w:val="19"/>
              </w:rPr>
              <w:t xml:space="preserve">, пункт 1.3.8.4: Полибифениленэфирсульфоны, имеющие температуру перехода в стеклообразное состояние (T g ) выше 563 K (290°C)</w:t>
            </w:r>
          </w:p>
          <w:p>
            <w:pPr>
              <w:spacing w:after="60"/>
            </w:pPr>
            <w:hyperlink w:history="1" r:id="rIdf8zkdiyxqq197qzghux7q">
              <w:r>
                <w:rPr>
                  <w:rFonts w:ascii="Arial" w:cs="Arial" w:eastAsia="Arial" w:hAnsi="Arial"/>
                  <w:color w:val="1F5FBF"/>
                  <w:sz w:val="17"/>
                  <w:szCs w:val="17"/>
                  <w:u w:val="single"/>
                </w:rPr>
                <w:t xml:space="preserve">Постановление Правительства РФ от 19.07.2022 № 1299</w:t>
              </w:r>
            </w:hyperlink>
            <w:r>
              <w:rPr>
                <w:rFonts w:ascii="Arial" w:cs="Arial" w:eastAsia="Arial" w:hAnsi="Arial"/>
                <w:color w:val="5B6472"/>
                <w:sz w:val="17"/>
                <w:szCs w:val="17"/>
              </w:rPr>
              <w:t xml:space="preserve">; вывоз — по лицензии или разрешению (Федеральный закон от 18.07.1999 № 183-ФЗ «Об экспортном контроле»).</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3911901900</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01402 — Декларация о соответствии требованиям технического регламента Евразийского экономического союза (Таможенного союза) · </w:t>
            </w:r>
            <w:hyperlink w:history="1" r:id="rId9kgas6f0fvlf6mdpx31av">
              <w:r>
                <w:rPr>
                  <w:rFonts w:ascii="Arial" w:cs="Arial" w:eastAsia="Arial" w:hAnsi="Arial"/>
                  <w:color w:val="1F5FBF"/>
                  <w:sz w:val="19"/>
                  <w:szCs w:val="19"/>
                  <w:u w:val="single"/>
                </w:rPr>
                <w:t xml:space="preserve">ТР ТС 019/2011</w:t>
              </w:r>
            </w:hyperlink>
          </w:p>
          <w:p>
            <w:pPr>
              <w:spacing w:after="60"/>
              <w:ind w:left="220" w:hanging="160"/>
            </w:pPr>
            <w:r>
              <w:rPr>
                <w:rFonts w:ascii="Arial" w:cs="Arial" w:eastAsia="Arial" w:hAnsi="Arial"/>
                <w:sz w:val="19"/>
                <w:szCs w:val="19"/>
              </w:rPr>
              <w:t xml:space="preserve">• 01206 — Свидетельство о государственной регистрации, выданное уполномоченным органом государства–члена Евразийского экономического союза в области санитарно-эпидемиологического благополучия населения · </w:t>
            </w:r>
            <w:hyperlink w:history="1" r:id="rIdt6ywkjvwx_ei88ex-vwis">
              <w:r>
                <w:rPr>
                  <w:rFonts w:ascii="Arial" w:cs="Arial" w:eastAsia="Arial" w:hAnsi="Arial"/>
                  <w:color w:val="1F5FBF"/>
                  <w:sz w:val="19"/>
                  <w:szCs w:val="19"/>
                  <w:u w:val="single"/>
                </w:rPr>
                <w:t xml:space="preserve">Решение Комиссии Таможенного союза № 299</w:t>
              </w:r>
            </w:hyperlink>
            <w:r>
              <w:rPr>
                <w:rFonts w:ascii="Arial" w:cs="Arial" w:eastAsia="Arial" w:hAnsi="Arial"/>
                <w:sz w:val="19"/>
                <w:szCs w:val="19"/>
              </w:rPr>
              <w:t xml:space="preserve">, раздел II</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xpcrf_gtg98m6vpasdxmf">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x5lsoyephljs_y6f3gtwn">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pjdlf2dotecnkqktoqm_c">
              <w:r>
                <w:rPr>
                  <w:rFonts w:ascii="Arial" w:cs="Arial" w:eastAsia="Arial" w:hAnsi="Arial"/>
                  <w:color w:val="1F5FBF"/>
                  <w:sz w:val="19"/>
                  <w:szCs w:val="19"/>
                  <w:u w:val="single"/>
                </w:rPr>
                <w:t xml:space="preserve">Решение Совета ЕЭК № 13 от 30.01.2026</w:t>
              </w:r>
            </w:hyperlink>
            <w:r>
              <w:rPr>
                <w:rFonts w:ascii="Arial" w:cs="Arial" w:eastAsia="Arial" w:hAnsi="Arial"/>
                <w:sz w:val="19"/>
                <w:szCs w:val="19"/>
              </w:rPr>
              <w:t xml:space="preserve"> —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 а также в решения… (вступило в силу 08.03.2026)</w:t>
            </w:r>
          </w:p>
          <w:p>
            <w:pPr>
              <w:spacing w:after="60"/>
              <w:ind w:left="220" w:hanging="160"/>
            </w:pPr>
            <w:r>
              <w:rPr>
                <w:rFonts w:ascii="Arial" w:cs="Arial" w:eastAsia="Arial" w:hAnsi="Arial"/>
                <w:sz w:val="19"/>
                <w:szCs w:val="19"/>
              </w:rPr>
              <w:t xml:space="preserve">• </w:t>
            </w:r>
            <w:hyperlink w:history="1" r:id="rIdfamco25lxhx8c0s546tx-">
              <w:r>
                <w:rPr>
                  <w:rFonts w:ascii="Arial" w:cs="Arial" w:eastAsia="Arial" w:hAnsi="Arial"/>
                  <w:color w:val="1F5FBF"/>
                  <w:sz w:val="19"/>
                  <w:szCs w:val="19"/>
                  <w:u w:val="single"/>
                </w:rPr>
                <w:t xml:space="preserve">Решение Коллегии ЕЭК № 1 от 14.01.2025</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Исламской Республики Иран и ввозимых на таможенную территорию Евразийского экономического союза, и о признании… (вступило в силу 15.05.2025)</w:t>
            </w:r>
          </w:p>
          <w:p>
            <w:pPr>
              <w:spacing w:after="60"/>
              <w:ind w:left="220" w:hanging="160"/>
            </w:pPr>
            <w:r>
              <w:rPr>
                <w:rFonts w:ascii="Arial" w:cs="Arial" w:eastAsia="Arial" w:hAnsi="Arial"/>
                <w:sz w:val="19"/>
                <w:szCs w:val="19"/>
              </w:rPr>
              <w:t xml:space="preserve">• </w:t>
            </w:r>
            <w:hyperlink w:history="1" r:id="rId2sx9_rcviqpvn_rhp5bpr">
              <w:r>
                <w:rPr>
                  <w:rFonts w:ascii="Arial" w:cs="Arial" w:eastAsia="Arial" w:hAnsi="Arial"/>
                  <w:color w:val="1F5FBF"/>
                  <w:sz w:val="19"/>
                  <w:szCs w:val="19"/>
                  <w:u w:val="single"/>
                </w:rPr>
                <w:t xml:space="preserve">Решение Коллегии ЕЭК № 10 от 22.01.2019</w:t>
              </w:r>
            </w:hyperlink>
            <w:r>
              <w:rPr>
                <w:rFonts w:ascii="Arial" w:cs="Arial" w:eastAsia="Arial" w:hAnsi="Arial"/>
                <w:sz w:val="19"/>
                <w:szCs w:val="19"/>
              </w:rPr>
              <w:t xml:space="preserve"> — О преференциальных ставках ввозных таможенных пошлин в отношении товаров, происходящих из Исламской Республики Иран и ввозимых на таможенную территорию Евразийского экономического союза (вступило в силу 27.10.2019)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https://imexp.ru/katalog/kod/3911901900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wtrapm-b3gwljteqi8o_7" Type="http://schemas.openxmlformats.org/officeDocument/2006/relationships/hyperlink" Target="https://docs.eaeunion.org/documents/386/6099/" TargetMode="External"/><Relationship Id="rIdqcra1hi-odjs1hc44n6v0" Type="http://schemas.openxmlformats.org/officeDocument/2006/relationships/hyperlink" Target="https://docs.eaeunion.org/documents/386/6099/" TargetMode="External"/><Relationship Id="rIdzijmjlu7upj2zadmf-dr0" Type="http://schemas.openxmlformats.org/officeDocument/2006/relationships/hyperlink" Target="https://eec.eaeunion.org/comission/department/deptexreg/tr/bezopSIZ.php" TargetMode="External"/><Relationship Id="rIdjpor0sm2_wv4gkjglixuf" Type="http://schemas.openxmlformats.org/officeDocument/2006/relationships/hyperlink" Target="http://publication.pravo.gov.ru/document/0001202203140039" TargetMode="External"/><Relationship Id="rIdme_tdf3q7sszyfzk5nj6t" Type="http://schemas.openxmlformats.org/officeDocument/2006/relationships/hyperlink" Target="https://docs.eaeunion.org/documents/211/8993/" TargetMode="External"/><Relationship Id="rIdkhcsvwsuqt9tpzl8dqydu" Type="http://schemas.openxmlformats.org/officeDocument/2006/relationships/hyperlink" Target="https://docs.eaeunion.org/documents/335/4666/" TargetMode="External"/><Relationship Id="rIdjqktk_kevuwlnuido2onu" Type="http://schemas.openxmlformats.org/officeDocument/2006/relationships/hyperlink" Target="http://publication.pravo.gov.ru/document/0001202308040119" TargetMode="External"/><Relationship Id="rIdy3sg-aqxlol1fuloswjya" Type="http://schemas.openxmlformats.org/officeDocument/2006/relationships/hyperlink" Target="https://eur-lex.europa.eu/eli/reg/2014/833/oj/eng" TargetMode="External"/><Relationship Id="rId-eb9rc_zioujmai3bm__l" Type="http://schemas.openxmlformats.org/officeDocument/2006/relationships/hyperlink" Target="https://www.legislation.gov.uk/uksi/2019/855/contents" TargetMode="External"/><Relationship Id="rIddzab6w40ttywh00i_5wlt" Type="http://schemas.openxmlformats.org/officeDocument/2006/relationships/hyperlink" Target="http://publication.pravo.gov.ru/document/0001202308040119" TargetMode="External"/><Relationship Id="rIdbc0cvkdfnl1ihcqrfddq4" Type="http://schemas.openxmlformats.org/officeDocument/2006/relationships/hyperlink" Target="http://publication.pravo.gov.ru/document/0001202411290098" TargetMode="External"/><Relationship Id="rIdgstcxzranxdf23xn_2m_6" Type="http://schemas.openxmlformats.org/officeDocument/2006/relationships/hyperlink" Target="http://publication.pravo.gov.ru/document/0001201805040007" TargetMode="External"/><Relationship Id="rIdfpjn5mhimv_v_mcy63wrr" Type="http://schemas.openxmlformats.org/officeDocument/2006/relationships/hyperlink" Target="https://eec.eaeunion.org/comission/department/deptexreg/tr/bezopSIZ.php" TargetMode="External"/><Relationship Id="rIdhvef_gvbpcugqd1ejx-wy" Type="http://schemas.openxmlformats.org/officeDocument/2006/relationships/hyperlink" Target="https://docs.eaeunion.org/documents/211/8993/" TargetMode="External"/><Relationship Id="rIdbfw4bhh8fg75fm2rfol3s" Type="http://schemas.openxmlformats.org/officeDocument/2006/relationships/hyperlink" Target="https://eec.eaeunion.org/comission/department/deptexreg/tr/bezopPischDobavok.php" TargetMode="External"/><Relationship Id="rIdbbutvvt1bxuzdyb_woxqe" Type="http://schemas.openxmlformats.org/officeDocument/2006/relationships/hyperlink" Target="https://eec.eaeunion.org/comission/department/deptexreg/tr/PischevayaProd.php" TargetMode="External"/><Relationship Id="rIdgo1x97u9qp7vblbp4vuvg" Type="http://schemas.openxmlformats.org/officeDocument/2006/relationships/hyperlink" Target="https://eec.eaeunion.org/comission/department/deptexreg/tr/PischevkaMarkirovka.php" TargetMode="External"/><Relationship Id="rIda_azz4ydwlb_qbeqeen2a" Type="http://schemas.openxmlformats.org/officeDocument/2006/relationships/hyperlink" Target="https://docs.eaeunion.org/documents/335/4666/" TargetMode="External"/><Relationship Id="rIdwzdcg-tc6bncwp1ow0kb9" Type="http://schemas.openxmlformats.org/officeDocument/2006/relationships/hyperlink" Target="http://publication.pravo.gov.ru/document/0001202207220041" TargetMode="External"/><Relationship Id="rIdu28oxv--3cjonl5lz-a5k" Type="http://schemas.openxmlformats.org/officeDocument/2006/relationships/hyperlink" Target="http://publication.pravo.gov.ru/document/0001202207220041" TargetMode="External"/><Relationship Id="rIdf8zkdiyxqq197qzghux7q" Type="http://schemas.openxmlformats.org/officeDocument/2006/relationships/hyperlink" Target="http://publication.pravo.gov.ru/document/0001202207220041" TargetMode="External"/><Relationship Id="rId9kgas6f0fvlf6mdpx31av" Type="http://schemas.openxmlformats.org/officeDocument/2006/relationships/hyperlink" Target="https://eec.eaeunion.org/comission/department/deptexreg/tr/bezopSIZ.php" TargetMode="External"/><Relationship Id="rIdt6ywkjvwx_ei88ex-vwis" Type="http://schemas.openxmlformats.org/officeDocument/2006/relationships/hyperlink" Target="https://docs.eaeunion.org/documents/211/8993/" TargetMode="External"/><Relationship Id="rIdxpcrf_gtg98m6vpasdxmf" Type="http://schemas.openxmlformats.org/officeDocument/2006/relationships/hyperlink" Target="https://docs.eaeunion.org/documents/214/946/" TargetMode="External"/><Relationship Id="rIdx5lsoyephljs_y6f3gtwn" Type="http://schemas.openxmlformats.org/officeDocument/2006/relationships/hyperlink" Target="https://docs.eaeunion.org/documents/208/8939/" TargetMode="External"/><Relationship Id="rIdpjdlf2dotecnkqktoqm_c" Type="http://schemas.openxmlformats.org/officeDocument/2006/relationships/hyperlink" Target="https://docs.eaeunion.org/documents/461/10520/" TargetMode="External"/><Relationship Id="rIdfamco25lxhx8c0s546tx-" Type="http://schemas.openxmlformats.org/officeDocument/2006/relationships/hyperlink" Target="https://docs.eaeunion.org/documents/446/9811/" TargetMode="External"/><Relationship Id="rId2sx9_rcviqpvn_rhp5bpr" Type="http://schemas.openxmlformats.org/officeDocument/2006/relationships/hyperlink" Target="https://docs.eaeunion.org/documents/335/4159/" TargetMode="External"/><Relationship Id="rId3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3911 90 190 0</dc:title>
  <dc:creator>IMEXP</dc:creator>
  <cp:lastModifiedBy>Un-named</cp:lastModifiedBy>
  <cp:revision>1</cp:revision>
  <dcterms:created xsi:type="dcterms:W3CDTF">2026-10-31T01:26:31.334Z</dcterms:created>
  <dcterms:modified xsi:type="dcterms:W3CDTF">2026-10-31T01:26:31.334Z</dcterms:modified>
</cp:coreProperties>
</file>

<file path=docProps/custom.xml><?xml version="1.0" encoding="utf-8"?>
<Properties xmlns="http://schemas.openxmlformats.org/officeDocument/2006/custom-properties" xmlns:vt="http://schemas.openxmlformats.org/officeDocument/2006/docPropsVTypes"/>
</file>