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3920 91 000 0</w:t>
      </w:r>
    </w:p>
    <w:p>
      <w:pPr>
        <w:spacing w:after="200"/>
      </w:pPr>
      <w:r>
        <w:rPr>
          <w:rFonts w:ascii="Arial" w:cs="Arial" w:eastAsia="Arial" w:hAnsi="Arial"/>
          <w:color w:val="5B6472"/>
          <w:sz w:val="19"/>
          <w:szCs w:val="19"/>
        </w:rPr>
        <w:t xml:space="preserve">Сведения на 28.10.2026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VII. Пластмассы и изделия из них; каучук, резина и изделия из них</w:t>
            </w:r>
          </w:p>
          <w:p>
            <w:pPr>
              <w:spacing w:after="60"/>
            </w:pPr>
            <w:r>
              <w:rPr>
                <w:rFonts w:ascii="Arial" w:cs="Arial" w:eastAsia="Arial" w:hAnsi="Arial"/>
                <w:color w:val="5B6472"/>
                <w:sz w:val="17"/>
                <w:szCs w:val="17"/>
              </w:rPr>
              <w:t xml:space="preserve">39 — ПЛАСТМАССЫ И ИЗДЕЛИЯ ИЗ НИХ</w:t>
            </w:r>
          </w:p>
          <w:p>
            <w:pPr>
              <w:spacing w:after="60"/>
            </w:pPr>
            <w:r>
              <w:rPr>
                <w:rFonts w:ascii="Arial" w:cs="Arial" w:eastAsia="Arial" w:hAnsi="Arial"/>
                <w:color w:val="5B6472"/>
                <w:sz w:val="17"/>
                <w:szCs w:val="17"/>
              </w:rPr>
              <w:t xml:space="preserve">3920 — Плиты, листы, пленка и полосы или ленты, прочие, из пластмасс, непористые и неармированные, неслоистые, без подложки и не соединенные аналогичным способом с другими материалами</w:t>
            </w:r>
          </w:p>
          <w:p>
            <w:pPr>
              <w:spacing w:after="60"/>
            </w:pPr>
            <w:r>
              <w:rPr>
                <w:rFonts w:ascii="Arial" w:cs="Arial" w:eastAsia="Arial" w:hAnsi="Arial"/>
                <w:color w:val="5B6472"/>
                <w:sz w:val="17"/>
                <w:szCs w:val="17"/>
              </w:rPr>
              <w:t xml:space="preserve">3920 91 — Из прочих пластмасс: из поливинилбутираля</w:t>
            </w:r>
          </w:p>
          <w:p>
            <w:pPr>
              <w:spacing w:after="60"/>
            </w:pPr>
            <w:r>
              <w:rPr>
                <w:rFonts w:ascii="Arial" w:cs="Arial" w:eastAsia="Arial" w:hAnsi="Arial"/>
                <w:color w:val="5B6472"/>
                <w:sz w:val="17"/>
                <w:szCs w:val="17"/>
              </w:rPr>
              <w:t xml:space="preserve">3920 91 00 — Из прочих пластмасс: из поливинилбутираля</w:t>
            </w:r>
          </w:p>
          <w:p>
            <w:pPr>
              <w:spacing w:after="60"/>
            </w:pPr>
            <w:r>
              <w:rPr>
                <w:rFonts w:ascii="Arial" w:cs="Arial" w:eastAsia="Arial" w:hAnsi="Arial"/>
                <w:b/>
                <w:bCs/>
                <w:sz w:val="19"/>
                <w:szCs w:val="19"/>
              </w:rPr>
              <w:t xml:space="preserve">3920 91 000 0 — Из прочих пластмасс: из поливинилбутираля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ssjid6q3q0qkb0i36qkqk">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lbiv3why_ttjoxzw42ufr">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Декларация о соответствии — </w:t>
            </w:r>
            <w:hyperlink w:history="1" r:id="rId5mul_ldnkokwbvgild2-0">
              <w:r>
                <w:rPr>
                  <w:rFonts w:ascii="Arial" w:cs="Arial" w:eastAsia="Arial" w:hAnsi="Arial"/>
                  <w:color w:val="1F5FBF"/>
                  <w:sz w:val="19"/>
                  <w:szCs w:val="19"/>
                  <w:u w:val="single"/>
                </w:rPr>
                <w:t xml:space="preserve">ТР ТС 019/2011</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Декларация о соответствии — </w:t>
            </w:r>
            <w:hyperlink w:history="1" r:id="rIdoa7y0mrzt9gwzp0oa0adx">
              <w:r>
                <w:rPr>
                  <w:rFonts w:ascii="Arial" w:cs="Arial" w:eastAsia="Arial" w:hAnsi="Arial"/>
                  <w:color w:val="1F5FBF"/>
                  <w:sz w:val="19"/>
                  <w:szCs w:val="19"/>
                  <w:u w:val="single"/>
                </w:rPr>
                <w:t xml:space="preserve">ТР ТС 005/2011</w:t>
              </w:r>
            </w:hyperlink>
          </w:p>
          <w:p>
            <w:pPr>
              <w:spacing w:after="60"/>
              <w:ind w:left="220" w:hanging="160"/>
            </w:pPr>
            <w:r>
              <w:rPr>
                <w:rFonts w:ascii="Arial" w:cs="Arial" w:eastAsia="Arial" w:hAnsi="Arial"/>
                <w:sz w:val="19"/>
                <w:szCs w:val="19"/>
              </w:rPr>
              <w:t xml:space="preserve">• Декларация о соответствии или Сертификат соответствия — </w:t>
            </w:r>
            <w:hyperlink w:history="1" r:id="rId_pfprh58tujtvkq73xldj">
              <w:r>
                <w:rPr>
                  <w:rFonts w:ascii="Arial" w:cs="Arial" w:eastAsia="Arial" w:hAnsi="Arial"/>
                  <w:color w:val="1F5FBF"/>
                  <w:sz w:val="19"/>
                  <w:szCs w:val="19"/>
                  <w:u w:val="single"/>
                </w:rPr>
                <w:t xml:space="preserve">ТР ТС 018/2011</w:t>
              </w:r>
            </w:hyperlink>
          </w:p>
          <w:p>
            <w:pPr>
              <w:spacing w:after="60"/>
              <w:ind w:left="220" w:hanging="160"/>
            </w:pPr>
            <w:r>
              <w:rPr>
                <w:rFonts w:ascii="Arial" w:cs="Arial" w:eastAsia="Arial" w:hAnsi="Arial"/>
                <w:sz w:val="19"/>
                <w:szCs w:val="19"/>
              </w:rPr>
              <w:t xml:space="preserve">• Сертификат соответствия — </w:t>
            </w:r>
            <w:hyperlink w:history="1" r:id="rIdomblj4gpihfux0ell3cxy">
              <w:r>
                <w:rPr>
                  <w:rFonts w:ascii="Arial" w:cs="Arial" w:eastAsia="Arial" w:hAnsi="Arial"/>
                  <w:color w:val="1F5FBF"/>
                  <w:sz w:val="19"/>
                  <w:szCs w:val="19"/>
                  <w:u w:val="single"/>
                </w:rPr>
                <w:t xml:space="preserve">ТР ЕАЭС 042/2017</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Декларация о соответствии — Постановление № 2425 (касается части товаров кода)</w:t>
            </w:r>
          </w:p>
          <w:p>
            <w:pPr>
              <w:spacing w:after="60"/>
              <w:ind w:left="220" w:hanging="160"/>
            </w:pPr>
            <w:r>
              <w:rPr>
                <w:rFonts w:ascii="Arial" w:cs="Arial" w:eastAsia="Arial" w:hAnsi="Arial"/>
                <w:sz w:val="19"/>
                <w:szCs w:val="19"/>
              </w:rPr>
              <w:t xml:space="preserve">• Декларация на собственных доказательствах (вместо сертификата) — </w:t>
            </w:r>
            <w:hyperlink w:history="1" r:id="rId07kgpqmhvwg2cjcszb3s8">
              <w:r>
                <w:rPr>
                  <w:rFonts w:ascii="Arial" w:cs="Arial" w:eastAsia="Arial" w:hAnsi="Arial"/>
                  <w:color w:val="1F5FBF"/>
                  <w:sz w:val="19"/>
                  <w:szCs w:val="19"/>
                  <w:u w:val="single"/>
                </w:rPr>
                <w:t xml:space="preserve">Постановление Правительства РФ № 353</w:t>
              </w:r>
            </w:hyperlink>
            <w:r>
              <w:rPr>
                <w:rFonts w:ascii="Arial" w:cs="Arial" w:eastAsia="Arial" w:hAnsi="Arial"/>
                <w:sz w:val="19"/>
                <w:szCs w:val="19"/>
              </w:rPr>
              <w:t xml:space="preserve">, приложение № 18, пункт 6 (до 01.09.2027, если товара нет в </w:t>
            </w:r>
            <w:hyperlink w:history="1" r:id="rIdfswfqaklf_vc1yvrkzwlp">
              <w:r>
                <w:rPr>
                  <w:rFonts w:ascii="Arial" w:cs="Arial" w:eastAsia="Arial" w:hAnsi="Arial"/>
                  <w:color w:val="1F5FBF"/>
                  <w:sz w:val="19"/>
                  <w:szCs w:val="19"/>
                  <w:u w:val="single"/>
                </w:rPr>
                <w:t xml:space="preserve">приказе Минпромторга № 4114</w:t>
              </w:r>
            </w:hyperlink>
            <w:r>
              <w:rPr>
                <w:rFonts w:ascii="Arial" w:cs="Arial" w:eastAsia="Arial" w:hAnsi="Arial"/>
                <w:sz w:val="19"/>
                <w:szCs w:val="19"/>
              </w:rPr>
              <w:t xml:space="preserve">: код в приказе назван, и решает наименование)</w:t>
            </w:r>
          </w:p>
          <w:p>
            <w:pPr>
              <w:spacing w:after="60"/>
              <w:ind w:left="220" w:hanging="160"/>
            </w:pPr>
            <w:r>
              <w:rPr>
                <w:rFonts w:ascii="Arial" w:cs="Arial" w:eastAsia="Arial" w:hAnsi="Arial"/>
                <w:sz w:val="19"/>
                <w:szCs w:val="19"/>
              </w:rPr>
              <w:t xml:space="preserve">• Свидетельство о госрегистрации (СГР) — </w:t>
            </w:r>
            <w:hyperlink w:history="1" r:id="rId01-chikhsd1bom5oz4qxp">
              <w:r>
                <w:rPr>
                  <w:rFonts w:ascii="Arial" w:cs="Arial" w:eastAsia="Arial" w:hAnsi="Arial"/>
                  <w:color w:val="1F5FBF"/>
                  <w:sz w:val="19"/>
                  <w:szCs w:val="19"/>
                  <w:u w:val="single"/>
                </w:rPr>
                <w:t xml:space="preserve">Решение Комиссии Таможенного союза № 299</w:t>
              </w:r>
            </w:hyperlink>
            <w:r>
              <w:rPr>
                <w:rFonts w:ascii="Arial" w:cs="Arial" w:eastAsia="Arial" w:hAnsi="Arial"/>
                <w:sz w:val="19"/>
                <w:szCs w:val="19"/>
              </w:rPr>
              <w:t xml:space="preserve">, раздел II (если товар относится к этому виду)</w:t>
            </w:r>
          </w:p>
          <w:p>
            <w:pPr>
              <w:spacing w:after="60"/>
              <w:ind w:left="220" w:hanging="160"/>
            </w:pPr>
            <w:r>
              <w:rPr>
                <w:rFonts w:ascii="Arial" w:cs="Arial" w:eastAsia="Arial" w:hAnsi="Arial"/>
                <w:sz w:val="19"/>
                <w:szCs w:val="19"/>
              </w:rPr>
              <w:t xml:space="preserve">• Санитарно-эпидемиологический надзор — </w:t>
            </w:r>
            <w:hyperlink w:history="1" r:id="rId1mi-dvzc-5brmod_ok9fg">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cuwitn2biowjk3plfbynl">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пункты 61 и 76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0b6l6qpfrlczroapgdl5a">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XXIII (промышленные товары)</w:t>
            </w:r>
          </w:p>
          <w:p>
            <w:pPr>
              <w:spacing w:after="60"/>
              <w:ind w:left="220" w:hanging="160"/>
            </w:pPr>
            <w:r>
              <w:rPr>
                <w:rFonts w:ascii="Arial" w:cs="Arial" w:eastAsia="Arial" w:hAnsi="Arial"/>
                <w:sz w:val="19"/>
                <w:szCs w:val="19"/>
              </w:rPr>
              <w:t xml:space="preserve">• Великобритания: </w:t>
            </w:r>
            <w:hyperlink w:history="1" r:id="rIdxzzjih4f4-wxmasfee2sr">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3E (товары зависимости G7)</w:t>
            </w:r>
          </w:p>
          <w:p>
            <w:pPr>
              <w:spacing w:after="60"/>
              <w:ind w:left="220" w:hanging="160"/>
            </w:pPr>
            <w:r>
              <w:rPr>
                <w:rFonts w:ascii="Arial" w:cs="Arial" w:eastAsia="Arial" w:hAnsi="Arial"/>
                <w:sz w:val="19"/>
                <w:szCs w:val="19"/>
              </w:rPr>
              <w:t xml:space="preserve">• США: </w:t>
            </w:r>
            <w:hyperlink w:history="1" r:id="rId5cjkgxu866rzazfybxsix">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6i01mcdl00bqbqqudvuec">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61 (39): ACURA, AE, ALFA ROMEO, ASTON MARTIN, AUDI, BASF, BENTLEY, BERAL, BERU, BLUEPRINT, BMW, BOSCH, BREMBO, BUGATTI, CADILLAC, CASE, CASE IH AGRICULTURE, CHAMPION, CHEVROLET, CHRYSLER, CLAAS, CONTITECH, DAEWOO, DAF TRUCKS, DAIHATSU, DAIMLER, DATSUN, DAYCO, DELPHI,…</w:t>
            </w:r>
          </w:p>
          <w:p>
            <w:pPr>
              <w:spacing w:after="60"/>
              <w:ind w:left="220" w:hanging="160"/>
            </w:pPr>
            <w:r>
              <w:rPr>
                <w:rFonts w:ascii="Arial" w:cs="Arial" w:eastAsia="Arial" w:hAnsi="Arial"/>
                <w:sz w:val="19"/>
                <w:szCs w:val="19"/>
              </w:rPr>
              <w:t xml:space="preserve">• Пункт 76 (3920): DUPONT, EagleBurgmann, fumasep, fumatech, GORE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6,5%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xkitabyhg0oagfiumol-m">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pafmphbfdp3mvsgev6hcw">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gybtbtektcsgkyuk0vv61">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hyperlink w:history="1" r:id="rIdgsv7dyqddmsyybpbsqz9y">
              <w:r>
                <w:rPr>
                  <w:rFonts w:ascii="Arial" w:cs="Arial" w:eastAsia="Arial" w:hAnsi="Arial"/>
                  <w:b/>
                  <w:bCs/>
                  <w:color w:val="1F5FBF"/>
                  <w:sz w:val="19"/>
                  <w:szCs w:val="19"/>
                  <w:u w:val="single"/>
                </w:rPr>
                <w:t xml:space="preserve">ТР ТС 019/2011</w:t>
              </w:r>
            </w:hyperlink>
            <w:r>
              <w:rPr>
                <w:rFonts w:ascii="Arial" w:cs="Arial" w:eastAsia="Arial" w:hAnsi="Arial"/>
                <w:b/>
                <w:bCs/>
                <w:sz w:val="19"/>
                <w:szCs w:val="19"/>
              </w:rPr>
              <w:t xml:space="preserve"> «О безопасности средств индивидуальной защиты»</w:t>
            </w:r>
          </w:p>
          <w:p>
            <w:pPr>
              <w:spacing w:after="60"/>
              <w:ind w:left="220" w:hanging="160"/>
            </w:pPr>
            <w:r>
              <w:rPr>
                <w:rFonts w:ascii="Arial" w:cs="Arial" w:eastAsia="Arial" w:hAnsi="Arial"/>
                <w:sz w:val="19"/>
                <w:szCs w:val="19"/>
              </w:rPr>
              <w:t xml:space="preserve">• декларация о соответствии: Противошумные вкладыши (беруши) (касается части товаров кода)</w:t>
            </w:r>
          </w:p>
          <w:p>
            <w:pPr>
              <w:spacing w:after="60"/>
            </w:pPr>
            <w:hyperlink w:history="1" r:id="rIdbyacux1hobqk4yai-ejx6">
              <w:r>
                <w:rPr>
                  <w:rFonts w:ascii="Arial" w:cs="Arial" w:eastAsia="Arial" w:hAnsi="Arial"/>
                  <w:b/>
                  <w:bCs/>
                  <w:color w:val="1F5FBF"/>
                  <w:sz w:val="19"/>
                  <w:szCs w:val="19"/>
                  <w:u w:val="single"/>
                </w:rPr>
                <w:t xml:space="preserve">ТР ТС 005/2011</w:t>
              </w:r>
            </w:hyperlink>
            <w:r>
              <w:rPr>
                <w:rFonts w:ascii="Arial" w:cs="Arial" w:eastAsia="Arial" w:hAnsi="Arial"/>
                <w:b/>
                <w:bCs/>
                <w:sz w:val="19"/>
                <w:szCs w:val="19"/>
              </w:rPr>
              <w:t xml:space="preserve"> «О безопасности упаковки»</w:t>
            </w:r>
          </w:p>
          <w:p>
            <w:pPr>
              <w:spacing w:after="60"/>
              <w:ind w:left="220" w:hanging="160"/>
            </w:pPr>
            <w:r>
              <w:rPr>
                <w:rFonts w:ascii="Arial" w:cs="Arial" w:eastAsia="Arial" w:hAnsi="Arial"/>
                <w:sz w:val="19"/>
                <w:szCs w:val="19"/>
              </w:rPr>
              <w:t xml:space="preserve">• декларация о соответствии: Упаковка полимерная (оболочки, пленки*, ящики, бочки, барабаны, канистры, фляги, банки, тубы, бутылки, флаконы, пакеты, мешки, контейнеры, лотки, коробки, стаканчики, пеналы), кроме бывшей в употреблении</w:t>
            </w:r>
          </w:p>
          <w:p>
            <w:pPr>
              <w:spacing w:after="60"/>
            </w:pPr>
            <w:hyperlink w:history="1" r:id="rIdwndql7uxqwguasnykcjwy">
              <w:r>
                <w:rPr>
                  <w:rFonts w:ascii="Arial" w:cs="Arial" w:eastAsia="Arial" w:hAnsi="Arial"/>
                  <w:b/>
                  <w:bCs/>
                  <w:color w:val="1F5FBF"/>
                  <w:sz w:val="19"/>
                  <w:szCs w:val="19"/>
                  <w:u w:val="single"/>
                </w:rPr>
                <w:t xml:space="preserve">ТР ТС 018/2011</w:t>
              </w:r>
            </w:hyperlink>
            <w:r>
              <w:rPr>
                <w:rFonts w:ascii="Arial" w:cs="Arial" w:eastAsia="Arial" w:hAnsi="Arial"/>
                <w:b/>
                <w:bCs/>
                <w:sz w:val="19"/>
                <w:szCs w:val="19"/>
              </w:rPr>
              <w:t xml:space="preserve"> «О безопасности колесных транспортных средств»</w:t>
            </w:r>
          </w:p>
          <w:p>
            <w:pPr>
              <w:spacing w:after="60"/>
              <w:ind w:left="220" w:hanging="160"/>
            </w:pPr>
            <w:r>
              <w:rPr>
                <w:rFonts w:ascii="Arial" w:cs="Arial" w:eastAsia="Arial" w:hAnsi="Arial"/>
                <w:sz w:val="19"/>
                <w:szCs w:val="19"/>
              </w:rPr>
              <w:t xml:space="preserve">• сертификат соответствия или декларация о соответствии: Задние опознавательные знаки тихоходных транспортных средств</w:t>
            </w:r>
          </w:p>
          <w:p>
            <w:pPr>
              <w:spacing w:after="60"/>
              <w:ind w:left="220" w:hanging="160"/>
            </w:pPr>
            <w:r>
              <w:rPr>
                <w:rFonts w:ascii="Arial" w:cs="Arial" w:eastAsia="Arial" w:hAnsi="Arial"/>
                <w:sz w:val="19"/>
                <w:szCs w:val="19"/>
              </w:rPr>
              <w:t xml:space="preserve">• сертификат соответствия или декларация о соответствии: Задние опознавательные знаки транспортных средств большой длины и грузоподъемности</w:t>
            </w:r>
          </w:p>
          <w:p>
            <w:pPr>
              <w:spacing w:after="60"/>
            </w:pPr>
            <w:hyperlink w:history="1" r:id="rId2dfohjubeljwcfxf3bnkj">
              <w:r>
                <w:rPr>
                  <w:rFonts w:ascii="Arial" w:cs="Arial" w:eastAsia="Arial" w:hAnsi="Arial"/>
                  <w:b/>
                  <w:bCs/>
                  <w:color w:val="1F5FBF"/>
                  <w:sz w:val="19"/>
                  <w:szCs w:val="19"/>
                  <w:u w:val="single"/>
                </w:rPr>
                <w:t xml:space="preserve">ТР ЕАЭС 042/2017</w:t>
              </w:r>
            </w:hyperlink>
            <w:r>
              <w:rPr>
                <w:rFonts w:ascii="Arial" w:cs="Arial" w:eastAsia="Arial" w:hAnsi="Arial"/>
                <w:b/>
                <w:bCs/>
                <w:sz w:val="19"/>
                <w:szCs w:val="19"/>
              </w:rPr>
              <w:t xml:space="preserve"> «О безопасности оборудования для детских игровых площадок»</w:t>
            </w:r>
          </w:p>
          <w:p>
            <w:pPr>
              <w:spacing w:after="60"/>
              <w:ind w:left="220" w:hanging="160"/>
            </w:pPr>
            <w:r>
              <w:rPr>
                <w:rFonts w:ascii="Arial" w:cs="Arial" w:eastAsia="Arial" w:hAnsi="Arial"/>
                <w:sz w:val="19"/>
                <w:szCs w:val="19"/>
              </w:rPr>
              <w:t xml:space="preserve">• сертификат соответствия: Ударопоглощающее покрытие синтетическое (касается части товаров кода)</w:t>
            </w:r>
          </w:p>
          <w:p>
            <w:pPr>
              <w:spacing w:after="60"/>
            </w:pPr>
            <w:r>
              <w:rPr>
                <w:rFonts w:ascii="Arial" w:cs="Arial" w:eastAsia="Arial" w:hAnsi="Arial"/>
                <w:b/>
                <w:bCs/>
                <w:sz w:val="19"/>
                <w:szCs w:val="19"/>
              </w:rPr>
              <w:t xml:space="preserve">Постановление № 2425 «Единый перечень продукции: сертификация и декларирование в РФ»</w:t>
            </w:r>
          </w:p>
          <w:p>
            <w:pPr>
              <w:spacing w:after="60"/>
              <w:ind w:left="220" w:hanging="160"/>
            </w:pPr>
            <w:r>
              <w:rPr>
                <w:rFonts w:ascii="Arial" w:cs="Arial" w:eastAsia="Arial" w:hAnsi="Arial"/>
                <w:sz w:val="19"/>
                <w:szCs w:val="19"/>
              </w:rPr>
              <w:t xml:space="preserve">• декларация о соответствии: Материалы теплоизоляционные из вспененного пенополистирола (касается части товаров кода)</w:t>
            </w:r>
          </w:p>
          <w:p>
            <w:pPr>
              <w:spacing w:after="60"/>
              <w:ind w:left="220" w:hanging="160"/>
            </w:pPr>
            <w:r>
              <w:rPr>
                <w:rFonts w:ascii="Arial" w:cs="Arial" w:eastAsia="Arial" w:hAnsi="Arial"/>
                <w:sz w:val="19"/>
                <w:szCs w:val="19"/>
              </w:rPr>
              <w:t xml:space="preserve">• декларация о соответствии: Материалы теплоизоляционные из экструзионного пенополистирола (касается части товаров кода)</w:t>
            </w:r>
          </w:p>
          <w:p>
            <w:pPr>
              <w:spacing w:after="60"/>
              <w:ind w:left="220" w:hanging="160"/>
            </w:pPr>
            <w:r>
              <w:rPr>
                <w:rFonts w:ascii="Arial" w:cs="Arial" w:eastAsia="Arial" w:hAnsi="Arial"/>
                <w:sz w:val="19"/>
                <w:szCs w:val="19"/>
              </w:rPr>
              <w:t xml:space="preserve">• декларация о соответствии: Материалы теплоизоляционные из пенополиизоцианурата (касается части товаров кода)</w:t>
            </w:r>
          </w:p>
          <w:p>
            <w:pPr>
              <w:spacing w:after="60"/>
              <w:ind w:left="220" w:hanging="160"/>
            </w:pPr>
            <w:r>
              <w:rPr>
                <w:rFonts w:ascii="Arial" w:cs="Arial" w:eastAsia="Arial" w:hAnsi="Arial"/>
                <w:sz w:val="19"/>
                <w:szCs w:val="19"/>
              </w:rPr>
              <w:t xml:space="preserve">• декларация о соответствии: Материалы теплоизоляционные из пенополиэтилена (касается части товаров кода)</w:t>
            </w:r>
          </w:p>
          <w:p>
            <w:pPr>
              <w:spacing w:after="60"/>
            </w:pPr>
            <w:r>
              <w:rPr>
                <w:rFonts w:ascii="Arial" w:cs="Arial" w:eastAsia="Arial" w:hAnsi="Arial"/>
                <w:sz w:val="19"/>
                <w:szCs w:val="19"/>
              </w:rPr>
              <w:t xml:space="preserve">Свидетельство о государственной регистрации — если товар относится к категориям раздела II Единого перечня (</w:t>
            </w:r>
            <w:hyperlink w:history="1" r:id="rIdonmyzrc-tvwlkszxlsgfi">
              <w:r>
                <w:rPr>
                  <w:rFonts w:ascii="Arial" w:cs="Arial" w:eastAsia="Arial" w:hAnsi="Arial"/>
                  <w:color w:val="1F5FBF"/>
                  <w:sz w:val="19"/>
                  <w:szCs w:val="19"/>
                  <w:u w:val="single"/>
                </w:rPr>
                <w:t xml:space="preserve">решение Комиссии Таможенного союза от 28.05.2010 № 299</w:t>
              </w:r>
            </w:hyperlink>
            <w:r>
              <w:rPr>
                <w:rFonts w:ascii="Arial" w:cs="Arial" w:eastAsia="Arial" w:hAnsi="Arial"/>
                <w:sz w:val="19"/>
                <w:szCs w:val="19"/>
              </w:rPr>
              <w:t xml:space="preserve">: дезсредства, бытовая химия, потенциально опасные вещества, водоподготовка, гигиена для взрослых, изделия для контакта с пищей) и подходит под наименование строки:</w:t>
            </w:r>
          </w:p>
          <w:p>
            <w:pPr>
              <w:spacing w:after="60"/>
              <w:ind w:left="220" w:hanging="160"/>
            </w:pPr>
            <w:r>
              <w:rPr>
                <w:rFonts w:ascii="Arial" w:cs="Arial" w:eastAsia="Arial" w:hAnsi="Arial"/>
                <w:sz w:val="19"/>
                <w:szCs w:val="19"/>
              </w:rPr>
              <w:t xml:space="preserve">• из 3920 — Плиты, листы, пленка и полосы или ленты, прочие, из пластмасс, непористые и неармированные, неслоистые, без подложки и не соединенные аналогичным способом с другими материалами, предназначенные для контакта с продуктами питания</w:t>
            </w:r>
          </w:p>
          <w:p>
            <w:pPr>
              <w:spacing w:after="60"/>
            </w:pPr>
            <w:r>
              <w:rPr>
                <w:rFonts w:ascii="Arial" w:cs="Arial" w:eastAsia="Arial" w:hAnsi="Arial"/>
                <w:color w:val="5B6472"/>
                <w:sz w:val="17"/>
                <w:szCs w:val="17"/>
              </w:rPr>
              <w:t xml:space="preserve">На практике по субпозиции 3920 91 действует сертификатов: 0, деклараций: 3; по </w:t>
            </w:r>
            <w:hyperlink w:history="1" r:id="rIdbe-phkcfd5kgkwwcxyuod">
              <w:r>
                <w:rPr>
                  <w:rFonts w:ascii="Arial" w:cs="Arial" w:eastAsia="Arial" w:hAnsi="Arial"/>
                  <w:color w:val="1F5FBF"/>
                  <w:sz w:val="17"/>
                  <w:szCs w:val="17"/>
                  <w:u w:val="single"/>
                </w:rPr>
                <w:t xml:space="preserve">ТР ТС 005/2011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(товары) для детей: игры и игрушки, постельное белье, одежда, обувь, учебные пособия, мебель, коляски, сумки (ранцы, рюкзаки, портфели и т. п.), дневники и аналогичные изделия, тетради, прочая канцелярская продукция (товары) из бумаги и картона, принадлежности канцелярские или школьные искусственные полимерные и синтетические материалы для изготовления продукции (товаров) детского…</w:t>
            </w:r>
          </w:p>
          <w:p>
            <w:pPr>
              <w:spacing w:after="60"/>
            </w:pPr>
            <w:hyperlink w:history="1" r:id="rIdj4ccc7kzmyujyxnxbmhmn">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Постановление № 1288, пункт 3.3.1 (также в разделе «элементы двигательных установок и оборудование»): Внутренняя облицовка, используемая для корпусов ракетных двигателей, указанных в позиции 2.1.1.3, или специально разработанная для ракетных двигателей, указанных в позиции 20.1.1.2</w:t>
            </w:r>
          </w:p>
          <w:p>
            <w:pPr>
              <w:spacing w:after="60"/>
              <w:ind w:left="220" w:hanging="160"/>
            </w:pPr>
            <w:r>
              <w:rPr>
                <w:rFonts w:ascii="Arial" w:cs="Arial" w:eastAsia="Arial" w:hAnsi="Arial"/>
                <w:sz w:val="19"/>
                <w:szCs w:val="19"/>
              </w:rPr>
              <w:t xml:space="preserve">• Постановление № 1288, пункт 3.3.2 (также в разделе «элементы двигательных установок и оборудование»): Изоляционный материал в виде заготовок, используемый для корпусов ракетных двигателей, указанных в позиции 2.1.1.3, или специально разработанный для ракетных двигателей, указанных в позиции 20.1.1.2</w:t>
            </w:r>
          </w:p>
          <w:p>
            <w:pPr>
              <w:spacing w:after="60"/>
              <w:ind w:left="220" w:hanging="160"/>
            </w:pPr>
            <w:r>
              <w:rPr>
                <w:rFonts w:ascii="Arial" w:cs="Arial" w:eastAsia="Arial" w:hAnsi="Arial"/>
                <w:sz w:val="19"/>
                <w:szCs w:val="19"/>
              </w:rPr>
              <w:t xml:space="preserve">• Постановление № 1286, пункт 2.3.7.3 (также в разделе «материалы»): Пропитанные термоусадочной смолой непрерывные пряжи, ровницы, пакли или ленты шириной не более 15 мм (препреги), изготовленные из углеродных или стеклянных волокнистых или нитевидных материалов, указанных в пунктах 2.3.7.1 и 2.3.7.2</w:t>
            </w:r>
          </w:p>
          <w:p>
            <w:pPr>
              <w:spacing w:after="60"/>
            </w:pPr>
            <w:hyperlink w:history="1" r:id="rId5rthxyoieupgwgk8kzei5">
              <w:r>
                <w:rPr>
                  <w:rFonts w:ascii="Arial" w:cs="Arial" w:eastAsia="Arial" w:hAnsi="Arial"/>
                  <w:color w:val="1F5FBF"/>
                  <w:sz w:val="17"/>
                  <w:szCs w:val="17"/>
                  <w:u w:val="single"/>
                </w:rPr>
                <w:t xml:space="preserve">Постановление Правительства РФ от 16.07.2022 № 1288</w:t>
              </w:r>
            </w:hyperlink>
            <w:r>
              <w:rPr>
                <w:rFonts w:ascii="Arial" w:cs="Arial" w:eastAsia="Arial" w:hAnsi="Arial"/>
                <w:color w:val="5B6472"/>
                <w:sz w:val="17"/>
                <w:szCs w:val="17"/>
              </w:rPr>
              <w:t xml:space="preserve">; </w:t>
            </w:r>
            <w:hyperlink w:history="1" r:id="rIdypmgfpamenluyvfikfeob">
              <w:r>
                <w:rPr>
                  <w:rFonts w:ascii="Arial" w:cs="Arial" w:eastAsia="Arial" w:hAnsi="Arial"/>
                  <w:color w:val="1F5FBF"/>
                  <w:sz w:val="17"/>
                  <w:szCs w:val="17"/>
                  <w:u w:val="single"/>
                </w:rPr>
                <w:t xml:space="preserve">Постановление Правительства РФ от 16.07.2022 № 1286</w:t>
              </w:r>
            </w:hyperlink>
            <w:r>
              <w:rPr>
                <w:rFonts w:ascii="Arial" w:cs="Arial" w:eastAsia="Arial" w:hAnsi="Arial"/>
                <w:color w:val="5B6472"/>
                <w:sz w:val="17"/>
                <w:szCs w:val="17"/>
              </w:rPr>
              <w:t xml:space="preserve">; вывоз — по лицензии или разрешению (Федеральный закон от 18.07.1999 № 183-ФЗ «Об экспортном контроле»).</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Решения ЕЭК о классификации отдельных товаров:</w:t>
            </w:r>
          </w:p>
          <w:p>
            <w:pPr>
              <w:spacing w:after="60"/>
              <w:ind w:left="220" w:hanging="160"/>
            </w:pPr>
            <w:r>
              <w:rPr>
                <w:rFonts w:ascii="Arial" w:cs="Arial" w:eastAsia="Arial" w:hAnsi="Arial"/>
                <w:sz w:val="19"/>
                <w:szCs w:val="19"/>
              </w:rPr>
              <w:t xml:space="preserve">• № 156 от 01.12.2015: Листы из композитного материала, имитирующего природный камень</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3920910000</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01402 — Декларация о соответствии требованиям технического регламента Евразийского экономического союза (Таможенного союза) · </w:t>
            </w:r>
            <w:hyperlink w:history="1" r:id="rId9wpom4hwxx6nbhpavs5x3">
              <w:r>
                <w:rPr>
                  <w:rFonts w:ascii="Arial" w:cs="Arial" w:eastAsia="Arial" w:hAnsi="Arial"/>
                  <w:color w:val="1F5FBF"/>
                  <w:sz w:val="19"/>
                  <w:szCs w:val="19"/>
                  <w:u w:val="single"/>
                </w:rPr>
                <w:t xml:space="preserve">ТР ТС 019/2011</w:t>
              </w:r>
            </w:hyperlink>
            <w:r>
              <w:rPr>
                <w:rFonts w:ascii="Arial" w:cs="Arial" w:eastAsia="Arial" w:hAnsi="Arial"/>
                <w:sz w:val="19"/>
                <w:szCs w:val="19"/>
              </w:rPr>
              <w:t xml:space="preserve">; </w:t>
            </w:r>
            <w:hyperlink w:history="1" r:id="rId0zx-tieywuhb8rbw_tnee">
              <w:r>
                <w:rPr>
                  <w:rFonts w:ascii="Arial" w:cs="Arial" w:eastAsia="Arial" w:hAnsi="Arial"/>
                  <w:color w:val="1F5FBF"/>
                  <w:sz w:val="19"/>
                  <w:szCs w:val="19"/>
                  <w:u w:val="single"/>
                </w:rPr>
                <w:t xml:space="preserve">ТР ТС 005/2011</w:t>
              </w:r>
            </w:hyperlink>
            <w:r>
              <w:rPr>
                <w:rFonts w:ascii="Arial" w:cs="Arial" w:eastAsia="Arial" w:hAnsi="Arial"/>
                <w:sz w:val="19"/>
                <w:szCs w:val="19"/>
              </w:rPr>
              <w:t xml:space="preserve">; </w:t>
            </w:r>
            <w:hyperlink w:history="1" r:id="rIdrrzaeo5bp2brs3dwvcldd">
              <w:r>
                <w:rPr>
                  <w:rFonts w:ascii="Arial" w:cs="Arial" w:eastAsia="Arial" w:hAnsi="Arial"/>
                  <w:color w:val="1F5FBF"/>
                  <w:sz w:val="19"/>
                  <w:szCs w:val="19"/>
                  <w:u w:val="single"/>
                </w:rPr>
                <w:t xml:space="preserve">ТР ТС 018/2011</w:t>
              </w:r>
            </w:hyperlink>
          </w:p>
          <w:p>
            <w:pPr>
              <w:spacing w:after="60"/>
              <w:ind w:left="220" w:hanging="160"/>
            </w:pPr>
            <w:r>
              <w:rPr>
                <w:rFonts w:ascii="Arial" w:cs="Arial" w:eastAsia="Arial" w:hAnsi="Arial"/>
                <w:sz w:val="19"/>
                <w:szCs w:val="19"/>
              </w:rPr>
              <w:t xml:space="preserve">• 01401 — Сертификат соответствия требованиям технического регламента Евразийского экономического союза (Таможенного союза) · </w:t>
            </w:r>
            <w:hyperlink w:history="1" r:id="rId1hhxgzfrb7wo6k6iqdgrr">
              <w:r>
                <w:rPr>
                  <w:rFonts w:ascii="Arial" w:cs="Arial" w:eastAsia="Arial" w:hAnsi="Arial"/>
                  <w:color w:val="1F5FBF"/>
                  <w:sz w:val="19"/>
                  <w:szCs w:val="19"/>
                  <w:u w:val="single"/>
                </w:rPr>
                <w:t xml:space="preserve">ТР ТС 018/2011</w:t>
              </w:r>
            </w:hyperlink>
            <w:r>
              <w:rPr>
                <w:rFonts w:ascii="Arial" w:cs="Arial" w:eastAsia="Arial" w:hAnsi="Arial"/>
                <w:sz w:val="19"/>
                <w:szCs w:val="19"/>
              </w:rPr>
              <w:t xml:space="preserve">; </w:t>
            </w:r>
            <w:hyperlink w:history="1" r:id="rIdvshitvmg0bmox5u9fndbu">
              <w:r>
                <w:rPr>
                  <w:rFonts w:ascii="Arial" w:cs="Arial" w:eastAsia="Arial" w:hAnsi="Arial"/>
                  <w:color w:val="1F5FBF"/>
                  <w:sz w:val="19"/>
                  <w:szCs w:val="19"/>
                  <w:u w:val="single"/>
                </w:rPr>
                <w:t xml:space="preserve">ТР ЕАЭС 042/2017</w:t>
              </w:r>
            </w:hyperlink>
          </w:p>
          <w:p>
            <w:pPr>
              <w:spacing w:after="60"/>
              <w:ind w:left="220" w:hanging="160"/>
            </w:pPr>
            <w:r>
              <w:rPr>
                <w:rFonts w:ascii="Arial" w:cs="Arial" w:eastAsia="Arial" w:hAnsi="Arial"/>
                <w:sz w:val="19"/>
                <w:szCs w:val="19"/>
              </w:rPr>
              <w:t xml:space="preserve">• 01408 — Документ об оценке соответствия, предусмотренный законодательством государства – члена Евразийского экономического союза, на территории которого продукция (товар) помещается под таможенные процедуры · Постановление № 2425</w:t>
            </w:r>
          </w:p>
          <w:p>
            <w:pPr>
              <w:spacing w:after="60"/>
              <w:ind w:left="220" w:hanging="160"/>
            </w:pPr>
            <w:r>
              <w:rPr>
                <w:rFonts w:ascii="Arial" w:cs="Arial" w:eastAsia="Arial" w:hAnsi="Arial"/>
                <w:sz w:val="19"/>
                <w:szCs w:val="19"/>
              </w:rPr>
              <w:t xml:space="preserve">• 01206 — Свидетельство о государственной регистрации, выданное уполномоченным органом государства–члена Евразийского экономического союза в области санитарно-эпидемиологического благополучия населения · </w:t>
            </w:r>
            <w:hyperlink w:history="1" r:id="rIdt0afgj5ioy5pnlx5c6fk9">
              <w:r>
                <w:rPr>
                  <w:rFonts w:ascii="Arial" w:cs="Arial" w:eastAsia="Arial" w:hAnsi="Arial"/>
                  <w:color w:val="1F5FBF"/>
                  <w:sz w:val="19"/>
                  <w:szCs w:val="19"/>
                  <w:u w:val="single"/>
                </w:rPr>
                <w:t xml:space="preserve">Решение Комиссии Таможенного союза № 299</w:t>
              </w:r>
            </w:hyperlink>
            <w:r>
              <w:rPr>
                <w:rFonts w:ascii="Arial" w:cs="Arial" w:eastAsia="Arial" w:hAnsi="Arial"/>
                <w:sz w:val="19"/>
                <w:szCs w:val="19"/>
              </w:rPr>
              <w:t xml:space="preserve">, раздел II</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wmwmgjrf8n-w5feqzi_vc">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lo_shl1c8gd3469y7lwlm">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gb0bxesev_wfjw4pv4gxh">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p>
            <w:pPr>
              <w:spacing w:after="60"/>
              <w:ind w:left="220" w:hanging="160"/>
            </w:pPr>
            <w:r>
              <w:rPr>
                <w:rFonts w:ascii="Arial" w:cs="Arial" w:eastAsia="Arial" w:hAnsi="Arial"/>
                <w:sz w:val="19"/>
                <w:szCs w:val="19"/>
              </w:rPr>
              <w:t xml:space="preserve">• </w:t>
            </w:r>
            <w:hyperlink w:history="1" r:id="rIdwqooy9fpnrljkatwowyhm">
              <w:r>
                <w:rPr>
                  <w:rFonts w:ascii="Arial" w:cs="Arial" w:eastAsia="Arial" w:hAnsi="Arial"/>
                  <w:color w:val="1F5FBF"/>
                  <w:sz w:val="19"/>
                  <w:szCs w:val="19"/>
                  <w:u w:val="single"/>
                </w:rPr>
                <w:t xml:space="preserve">Решение Совета ЕЭК № 99 от 05.10.2021</w:t>
              </w:r>
            </w:hyperlink>
            <w:r>
              <w:rPr>
                <w:rFonts w:ascii="Arial" w:cs="Arial" w:eastAsia="Arial" w:hAnsi="Arial"/>
                <w:sz w:val="19"/>
                <w:szCs w:val="19"/>
              </w:rPr>
              <w:t xml:space="preserve"> — О внесении изменений в перечень товаров, происходящих из развивающихся стран или из наименее развитых стран, в отношении которых при ввозе на таможенную территорию Евразийского экономического союза… (вступило в силу 01.01.2022)</w:t>
            </w:r>
          </w:p>
          <w:p>
            <w:pPr>
              <w:spacing w:after="60"/>
              <w:ind w:left="220" w:hanging="160"/>
            </w:pPr>
            <w:r>
              <w:rPr>
                <w:rFonts w:ascii="Arial" w:cs="Arial" w:eastAsia="Arial" w:hAnsi="Arial"/>
                <w:sz w:val="19"/>
                <w:szCs w:val="19"/>
              </w:rPr>
              <w:t xml:space="preserve">• </w:t>
            </w:r>
            <w:hyperlink w:history="1" r:id="rIdqfdcqfym8fh37ps5ppktr">
              <w:r>
                <w:rPr>
                  <w:rFonts w:ascii="Arial" w:cs="Arial" w:eastAsia="Arial" w:hAnsi="Arial"/>
                  <w:color w:val="1F5FBF"/>
                  <w:sz w:val="19"/>
                  <w:szCs w:val="19"/>
                  <w:u w:val="single"/>
                </w:rPr>
                <w:t xml:space="preserve">Решение Совета ЕЭК № 8 от 13.01.2017</w:t>
              </w:r>
            </w:hyperlink>
            <w:r>
              <w:rPr>
                <w:rFonts w:ascii="Arial" w:cs="Arial" w:eastAsia="Arial" w:hAnsi="Arial"/>
                <w:sz w:val="19"/>
                <w:szCs w:val="19"/>
              </w:rPr>
              <w:t xml:space="preserve"> — О перечне товаров, происходящих из развивающихся стран или из наименее развитых стран, в отношении которых при ввозе на таможенную территорию Евразийского экономического союза предоставляются… (вступило в силу 28.08.2017)</w:t>
            </w:r>
          </w:p>
          <w:p>
            <w:pPr>
              <w:spacing w:after="60"/>
              <w:ind w:left="220" w:hanging="160"/>
            </w:pPr>
            <w:r>
              <w:rPr>
                <w:rFonts w:ascii="Arial" w:cs="Arial" w:eastAsia="Arial" w:hAnsi="Arial"/>
                <w:sz w:val="19"/>
                <w:szCs w:val="19"/>
              </w:rPr>
              <w:t xml:space="preserve">• </w:t>
            </w:r>
            <w:hyperlink w:history="1" r:id="rIdfe9ofnus4jl7gw2ai6q8k">
              <w:r>
                <w:rPr>
                  <w:rFonts w:ascii="Arial" w:cs="Arial" w:eastAsia="Arial" w:hAnsi="Arial"/>
                  <w:color w:val="1F5FBF"/>
                  <w:sz w:val="19"/>
                  <w:szCs w:val="19"/>
                  <w:u w:val="single"/>
                </w:rPr>
                <w:t xml:space="preserve">Решение Совета ЕЭК № 40 от 16.05.2016</w:t>
              </w:r>
            </w:hyperlink>
            <w:r>
              <w:rPr>
                <w:rFonts w:ascii="Arial" w:cs="Arial" w:eastAsia="Arial" w:hAnsi="Arial"/>
                <w:sz w:val="19"/>
                <w:szCs w:val="19"/>
              </w:rPr>
              <w:t xml:space="preserve"> —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 (вступило в силу 01.09.2016)</w:t>
            </w:r>
          </w:p>
          <w:p>
            <w:pPr>
              <w:spacing w:after="60"/>
              <w:ind w:left="220" w:hanging="160"/>
            </w:pPr>
            <w:r>
              <w:rPr>
                <w:rFonts w:ascii="Arial" w:cs="Arial" w:eastAsia="Arial" w:hAnsi="Arial"/>
                <w:sz w:val="19"/>
                <w:szCs w:val="19"/>
              </w:rPr>
              <w:t xml:space="preserve">• </w:t>
            </w:r>
            <w:hyperlink w:history="1" r:id="rId3jqgnvtgz5wi8-ptw4wvb">
              <w:r>
                <w:rPr>
                  <w:rFonts w:ascii="Arial" w:cs="Arial" w:eastAsia="Arial" w:hAnsi="Arial"/>
                  <w:color w:val="1F5FBF"/>
                  <w:sz w:val="19"/>
                  <w:szCs w:val="19"/>
                  <w:u w:val="single"/>
                </w:rPr>
                <w:t xml:space="preserve">Решение Коллегии ЕЭК № 36 от 19.04.2016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Социалистической Республики Вьетнам и ввозимых на таможенную территорию Евразийского экономического союза</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https://imexp.ru/katalog/kod/3920910000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ssjid6q3q0qkb0i36qkqk" Type="http://schemas.openxmlformats.org/officeDocument/2006/relationships/hyperlink" Target="https://docs.eaeunion.org/documents/386/6099/" TargetMode="External"/><Relationship Id="rIdlbiv3why_ttjoxzw42ufr" Type="http://schemas.openxmlformats.org/officeDocument/2006/relationships/hyperlink" Target="https://docs.eaeunion.org/documents/386/6099/" TargetMode="External"/><Relationship Id="rId5mul_ldnkokwbvgild2-0" Type="http://schemas.openxmlformats.org/officeDocument/2006/relationships/hyperlink" Target="https://eec.eaeunion.org/comission/department/deptexreg/tr/bezopSIZ.php" TargetMode="External"/><Relationship Id="rIdoa7y0mrzt9gwzp0oa0adx" Type="http://schemas.openxmlformats.org/officeDocument/2006/relationships/hyperlink" Target="https://eec.eaeunion.org/comission/department/deptexreg/tr/bezopypakovki.php" TargetMode="External"/><Relationship Id="rId_pfprh58tujtvkq73xldj" Type="http://schemas.openxmlformats.org/officeDocument/2006/relationships/hyperlink" Target="https://eec.eaeunion.org/comission/department/deptexreg/tr/bezopKolesnTrS.php" TargetMode="External"/><Relationship Id="rIdomblj4gpihfux0ell3cxy" Type="http://schemas.openxmlformats.org/officeDocument/2006/relationships/hyperlink" Target="https://eec.eaeunion.org/comission/department/deptexreg/tr/TR_EEU_042_2017.php" TargetMode="External"/><Relationship Id="rId07kgpqmhvwg2cjcszb3s8" Type="http://schemas.openxmlformats.org/officeDocument/2006/relationships/hyperlink" Target="http://publication.pravo.gov.ru/document/0001202203140039" TargetMode="External"/><Relationship Id="rIdfswfqaklf_vc1yvrkzwlp" Type="http://schemas.openxmlformats.org/officeDocument/2006/relationships/hyperlink" Target="http://publication.pravo.gov.ru/document/0001202410080008" TargetMode="External"/><Relationship Id="rId01-chikhsd1bom5oz4qxp" Type="http://schemas.openxmlformats.org/officeDocument/2006/relationships/hyperlink" Target="https://docs.eaeunion.org/documents/211/8993/" TargetMode="External"/><Relationship Id="rId1mi-dvzc-5brmod_ok9fg" Type="http://schemas.openxmlformats.org/officeDocument/2006/relationships/hyperlink" Target="https://docs.eaeunion.org/documents/335/4666/" TargetMode="External"/><Relationship Id="rIdcuwitn2biowjk3plfbynl" Type="http://schemas.openxmlformats.org/officeDocument/2006/relationships/hyperlink" Target="http://publication.pravo.gov.ru/document/0001202308040119" TargetMode="External"/><Relationship Id="rId0b6l6qpfrlczroapgdl5a" Type="http://schemas.openxmlformats.org/officeDocument/2006/relationships/hyperlink" Target="https://eur-lex.europa.eu/eli/reg/2014/833/oj/eng" TargetMode="External"/><Relationship Id="rIdxzzjih4f4-wxmasfee2sr" Type="http://schemas.openxmlformats.org/officeDocument/2006/relationships/hyperlink" Target="https://www.legislation.gov.uk/uksi/2019/855/contents" TargetMode="External"/><Relationship Id="rId5cjkgxu866rzazfybxsix" Type="http://schemas.openxmlformats.org/officeDocument/2006/relationships/hyperlink" Target="https://www.ecfr.gov/current/title-15/subtitle-B/chapter-VII/subchapter-C/part-746" TargetMode="External"/><Relationship Id="rId6i01mcdl00bqbqqudvuec" Type="http://schemas.openxmlformats.org/officeDocument/2006/relationships/hyperlink" Target="http://publication.pravo.gov.ru/document/0001202308040119" TargetMode="External"/><Relationship Id="rIdxkitabyhg0oagfiumol-m" Type="http://schemas.openxmlformats.org/officeDocument/2006/relationships/hyperlink" Target="https://docs.eaeunion.org/documents/386/6099/" TargetMode="External"/><Relationship Id="rIdpafmphbfdp3mvsgev6hcw" Type="http://schemas.openxmlformats.org/officeDocument/2006/relationships/hyperlink" Target="http://publication.pravo.gov.ru/document/0001202411290098" TargetMode="External"/><Relationship Id="rIdgybtbtektcsgkyuk0vv61" Type="http://schemas.openxmlformats.org/officeDocument/2006/relationships/hyperlink" Target="http://publication.pravo.gov.ru/document/0001201805040007" TargetMode="External"/><Relationship Id="rIdgsv7dyqddmsyybpbsqz9y" Type="http://schemas.openxmlformats.org/officeDocument/2006/relationships/hyperlink" Target="https://eec.eaeunion.org/comission/department/deptexreg/tr/bezopSIZ.php" TargetMode="External"/><Relationship Id="rIdbyacux1hobqk4yai-ejx6" Type="http://schemas.openxmlformats.org/officeDocument/2006/relationships/hyperlink" Target="https://eec.eaeunion.org/comission/department/deptexreg/tr/bezopypakovki.php" TargetMode="External"/><Relationship Id="rIdwndql7uxqwguasnykcjwy" Type="http://schemas.openxmlformats.org/officeDocument/2006/relationships/hyperlink" Target="https://eec.eaeunion.org/comission/department/deptexreg/tr/bezopKolesnTrS.php" TargetMode="External"/><Relationship Id="rId2dfohjubeljwcfxf3bnkj" Type="http://schemas.openxmlformats.org/officeDocument/2006/relationships/hyperlink" Target="https://eec.eaeunion.org/comission/department/deptexreg/tr/TR_EEU_042_2017.php" TargetMode="External"/><Relationship Id="rIdonmyzrc-tvwlkszxlsgfi" Type="http://schemas.openxmlformats.org/officeDocument/2006/relationships/hyperlink" Target="https://docs.eaeunion.org/documents/211/8993/" TargetMode="External"/><Relationship Id="rIdbe-phkcfd5kgkwwcxyuod" Type="http://schemas.openxmlformats.org/officeDocument/2006/relationships/hyperlink" Target="https://eec.eaeunion.org/comission/department/deptexreg/tr/bezopypakovki.php" TargetMode="External"/><Relationship Id="rIdj4ccc7kzmyujyxnxbmhmn" Type="http://schemas.openxmlformats.org/officeDocument/2006/relationships/hyperlink" Target="https://docs.eaeunion.org/documents/335/4666/" TargetMode="External"/><Relationship Id="rId5rthxyoieupgwgk8kzei5" Type="http://schemas.openxmlformats.org/officeDocument/2006/relationships/hyperlink" Target="http://publication.pravo.gov.ru/document/0001202207190036" TargetMode="External"/><Relationship Id="rIdypmgfpamenluyvfikfeob" Type="http://schemas.openxmlformats.org/officeDocument/2006/relationships/hyperlink" Target="http://publication.pravo.gov.ru/document/0001202207190018" TargetMode="External"/><Relationship Id="rId9wpom4hwxx6nbhpavs5x3" Type="http://schemas.openxmlformats.org/officeDocument/2006/relationships/hyperlink" Target="https://eec.eaeunion.org/comission/department/deptexreg/tr/bezopSIZ.php" TargetMode="External"/><Relationship Id="rId0zx-tieywuhb8rbw_tnee" Type="http://schemas.openxmlformats.org/officeDocument/2006/relationships/hyperlink" Target="https://eec.eaeunion.org/comission/department/deptexreg/tr/bezopypakovki.php" TargetMode="External"/><Relationship Id="rIdrrzaeo5bp2brs3dwvcldd" Type="http://schemas.openxmlformats.org/officeDocument/2006/relationships/hyperlink" Target="https://eec.eaeunion.org/comission/department/deptexreg/tr/bezopKolesnTrS.php" TargetMode="External"/><Relationship Id="rId1hhxgzfrb7wo6k6iqdgrr" Type="http://schemas.openxmlformats.org/officeDocument/2006/relationships/hyperlink" Target="https://eec.eaeunion.org/comission/department/deptexreg/tr/bezopKolesnTrS.php" TargetMode="External"/><Relationship Id="rIdvshitvmg0bmox5u9fndbu" Type="http://schemas.openxmlformats.org/officeDocument/2006/relationships/hyperlink" Target="https://eec.eaeunion.org/comission/department/deptexreg/tr/TR_EEU_042_2017.php" TargetMode="External"/><Relationship Id="rIdt0afgj5ioy5pnlx5c6fk9" Type="http://schemas.openxmlformats.org/officeDocument/2006/relationships/hyperlink" Target="https://docs.eaeunion.org/documents/211/8993/" TargetMode="External"/><Relationship Id="rIdwmwmgjrf8n-w5feqzi_vc" Type="http://schemas.openxmlformats.org/officeDocument/2006/relationships/hyperlink" Target="https://docs.eaeunion.org/documents/214/946/" TargetMode="External"/><Relationship Id="rIdlo_shl1c8gd3469y7lwlm" Type="http://schemas.openxmlformats.org/officeDocument/2006/relationships/hyperlink" Target="https://docs.eaeunion.org/documents/208/8939/" TargetMode="External"/><Relationship Id="rIdgb0bxesev_wfjw4pv4gxh" Type="http://schemas.openxmlformats.org/officeDocument/2006/relationships/hyperlink" Target="https://docs.eaeunion.org/documents/463/10896/" TargetMode="External"/><Relationship Id="rIdwqooy9fpnrljkatwowyhm" Type="http://schemas.openxmlformats.org/officeDocument/2006/relationships/hyperlink" Target="https://docs.eaeunion.org/documents/386/6162/" TargetMode="External"/><Relationship Id="rIdqfdcqfym8fh37ps5ppktr" Type="http://schemas.openxmlformats.org/officeDocument/2006/relationships/hyperlink" Target="https://docs.eaeunion.org/documents/317/2804/" TargetMode="External"/><Relationship Id="rIdfe9ofnus4jl7gw2ai6q8k" Type="http://schemas.openxmlformats.org/officeDocument/2006/relationships/hyperlink" Target="https://docs.eaeunion.org/documents/306/2289/" TargetMode="External"/><Relationship Id="rId3jqgnvtgz5wi8-ptw4wvb" Type="http://schemas.openxmlformats.org/officeDocument/2006/relationships/hyperlink" Target="https://docs.eaeunion.org/documents/305/2213/" TargetMode="External"/><Relationship Id="rId4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3920 91 000 0</dc:title>
  <dc:creator>IMEXP</dc:creator>
  <cp:lastModifiedBy>Un-named</cp:lastModifiedBy>
  <cp:revision>1</cp:revision>
  <dcterms:created xsi:type="dcterms:W3CDTF">2026-10-28T02:23:04.827Z</dcterms:created>
  <dcterms:modified xsi:type="dcterms:W3CDTF">2026-10-28T02:23:04.827Z</dcterms:modified>
</cp:coreProperties>
</file>

<file path=docProps/custom.xml><?xml version="1.0" encoding="utf-8"?>
<Properties xmlns="http://schemas.openxmlformats.org/officeDocument/2006/custom-properties" xmlns:vt="http://schemas.openxmlformats.org/officeDocument/2006/docPropsVTypes"/>
</file>