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3925 20 000 0</w:t>
      </w:r>
    </w:p>
    <w:p>
      <w:pPr>
        <w:spacing w:after="200"/>
      </w:pPr>
      <w:r>
        <w:rPr>
          <w:rFonts w:ascii="Arial" w:cs="Arial" w:eastAsia="Arial" w:hAnsi="Arial"/>
          <w:color w:val="5B6472"/>
          <w:sz w:val="19"/>
          <w:szCs w:val="19"/>
        </w:rPr>
        <w:t xml:space="preserve">Сведения на 28.10.2026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VII. Пластмассы и изделия из них; каучук, резина и изделия из них</w:t>
            </w:r>
          </w:p>
          <w:p>
            <w:pPr>
              <w:spacing w:after="60"/>
            </w:pPr>
            <w:r>
              <w:rPr>
                <w:rFonts w:ascii="Arial" w:cs="Arial" w:eastAsia="Arial" w:hAnsi="Arial"/>
                <w:color w:val="5B6472"/>
                <w:sz w:val="17"/>
                <w:szCs w:val="17"/>
              </w:rPr>
              <w:t xml:space="preserve">39 — ПЛАСТМАССЫ И ИЗДЕЛИЯ ИЗ НИХ</w:t>
            </w:r>
          </w:p>
          <w:p>
            <w:pPr>
              <w:spacing w:after="60"/>
            </w:pPr>
            <w:r>
              <w:rPr>
                <w:rFonts w:ascii="Arial" w:cs="Arial" w:eastAsia="Arial" w:hAnsi="Arial"/>
                <w:color w:val="5B6472"/>
                <w:sz w:val="17"/>
                <w:szCs w:val="17"/>
              </w:rPr>
              <w:t xml:space="preserve">3925 — Детали строительные из пластмасс, в другом месте не поименованные или не включенные</w:t>
            </w:r>
          </w:p>
          <w:p>
            <w:pPr>
              <w:spacing w:after="60"/>
            </w:pPr>
            <w:r>
              <w:rPr>
                <w:rFonts w:ascii="Arial" w:cs="Arial" w:eastAsia="Arial" w:hAnsi="Arial"/>
                <w:color w:val="5B6472"/>
                <w:sz w:val="17"/>
                <w:szCs w:val="17"/>
              </w:rPr>
              <w:t xml:space="preserve">3925 20 — Двери, окна и их рамы, пороги для дверей</w:t>
            </w:r>
          </w:p>
          <w:p>
            <w:pPr>
              <w:spacing w:after="60"/>
            </w:pPr>
            <w:r>
              <w:rPr>
                <w:rFonts w:ascii="Arial" w:cs="Arial" w:eastAsia="Arial" w:hAnsi="Arial"/>
                <w:color w:val="5B6472"/>
                <w:sz w:val="17"/>
                <w:szCs w:val="17"/>
              </w:rPr>
              <w:t xml:space="preserve">3925 20 00 — Двери, окна и их рамы, пороги для дверей</w:t>
            </w:r>
          </w:p>
          <w:p>
            <w:pPr>
              <w:spacing w:after="60"/>
            </w:pPr>
            <w:r>
              <w:rPr>
                <w:rFonts w:ascii="Arial" w:cs="Arial" w:eastAsia="Arial" w:hAnsi="Arial"/>
                <w:b/>
                <w:bCs/>
                <w:sz w:val="19"/>
                <w:szCs w:val="19"/>
              </w:rPr>
              <w:t xml:space="preserve">3925 20 000 0 — Двери, окна и их рамы, пороги для дверей</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neltbbg8xdr0wjrtt53al">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8yf8tmsbzr0xcttfdtdyj">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Декларация о соответствии — </w:t>
            </w:r>
            <w:hyperlink w:history="1" r:id="rIdgamblsxk2sr8ddzixbfbi">
              <w:r>
                <w:rPr>
                  <w:rFonts w:ascii="Arial" w:cs="Arial" w:eastAsia="Arial" w:hAnsi="Arial"/>
                  <w:color w:val="1F5FBF"/>
                  <w:sz w:val="19"/>
                  <w:szCs w:val="19"/>
                  <w:u w:val="single"/>
                </w:rPr>
                <w:t xml:space="preserve">ТР ТС 019/2011</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Декларация о соответствии — Постановление № 2425</w:t>
            </w:r>
          </w:p>
          <w:p>
            <w:pPr>
              <w:spacing w:after="60"/>
              <w:ind w:left="220" w:hanging="160"/>
            </w:pPr>
            <w:r>
              <w:rPr>
                <w:rFonts w:ascii="Arial" w:cs="Arial" w:eastAsia="Arial" w:hAnsi="Arial"/>
                <w:sz w:val="19"/>
                <w:szCs w:val="19"/>
              </w:rPr>
              <w:t xml:space="preserve">• Декларация на собственных доказательствах (вместо сертификата) — </w:t>
            </w:r>
            <w:hyperlink w:history="1" r:id="rIdvdiq0fbwj8i83tpzjqmi8">
              <w:r>
                <w:rPr>
                  <w:rFonts w:ascii="Arial" w:cs="Arial" w:eastAsia="Arial" w:hAnsi="Arial"/>
                  <w:color w:val="1F5FBF"/>
                  <w:sz w:val="19"/>
                  <w:szCs w:val="19"/>
                  <w:u w:val="single"/>
                </w:rPr>
                <w:t xml:space="preserve">Постановление Правительства РФ № 353</w:t>
              </w:r>
            </w:hyperlink>
            <w:r>
              <w:rPr>
                <w:rFonts w:ascii="Arial" w:cs="Arial" w:eastAsia="Arial" w:hAnsi="Arial"/>
                <w:sz w:val="19"/>
                <w:szCs w:val="19"/>
              </w:rPr>
              <w:t xml:space="preserve">, приложение № 18, пункт 6 (до 01.09.2027, если товара нет в </w:t>
            </w:r>
            <w:hyperlink w:history="1" r:id="rIdbfh7_vrxnyge-ad6mbiik">
              <w:r>
                <w:rPr>
                  <w:rFonts w:ascii="Arial" w:cs="Arial" w:eastAsia="Arial" w:hAnsi="Arial"/>
                  <w:color w:val="1F5FBF"/>
                  <w:sz w:val="19"/>
                  <w:szCs w:val="19"/>
                  <w:u w:val="single"/>
                </w:rPr>
                <w:t xml:space="preserve">приказе Минпромторга № 4114</w:t>
              </w:r>
            </w:hyperlink>
            <w:r>
              <w:rPr>
                <w:rFonts w:ascii="Arial" w:cs="Arial" w:eastAsia="Arial" w:hAnsi="Arial"/>
                <w:sz w:val="19"/>
                <w:szCs w:val="19"/>
              </w:rPr>
              <w:t xml:space="preserve">: код в приказе назван, и решает наименование)</w:t>
            </w:r>
          </w:p>
          <w:p>
            <w:pPr>
              <w:spacing w:after="60"/>
              <w:ind w:left="220" w:hanging="160"/>
            </w:pPr>
            <w:r>
              <w:rPr>
                <w:rFonts w:ascii="Arial" w:cs="Arial" w:eastAsia="Arial" w:hAnsi="Arial"/>
                <w:sz w:val="19"/>
                <w:szCs w:val="19"/>
              </w:rPr>
              <w:t xml:space="preserve">• Санитарно-эпидемиологический надзор — </w:t>
            </w:r>
            <w:hyperlink w:history="1" r:id="rId81mxfsa0yrypwppwa6r7l">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Регистрационное удостоверение медизделия — Федеральный закон № 323-ФЗ, статья 38 (если товар относится к этому виду)</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yhzth1d5sdv837f9qmfen">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пункты 61 и 81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7ybrh3hdruca8drafnhol">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XXIII (промышленные товары)</w:t>
            </w:r>
          </w:p>
          <w:p>
            <w:pPr>
              <w:spacing w:after="60"/>
              <w:ind w:left="220" w:hanging="160"/>
            </w:pPr>
            <w:r>
              <w:rPr>
                <w:rFonts w:ascii="Arial" w:cs="Arial" w:eastAsia="Arial" w:hAnsi="Arial"/>
                <w:sz w:val="19"/>
                <w:szCs w:val="19"/>
              </w:rPr>
              <w:t xml:space="preserve">• Великобритания: </w:t>
            </w:r>
            <w:hyperlink w:history="1" r:id="rIdxev-khthyjbsforvu-srt">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3E (товары зависимости G7)</w:t>
            </w:r>
          </w:p>
          <w:p>
            <w:pPr>
              <w:spacing w:after="60"/>
              <w:ind w:left="220" w:hanging="160"/>
            </w:pPr>
            <w:r>
              <w:rPr>
                <w:rFonts w:ascii="Arial" w:cs="Arial" w:eastAsia="Arial" w:hAnsi="Arial"/>
                <w:sz w:val="19"/>
                <w:szCs w:val="19"/>
              </w:rPr>
              <w:t xml:space="preserve">• США: </w:t>
            </w:r>
            <w:hyperlink w:history="1" r:id="rIdwle2x3bmhvzn2krmymk1h">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4ukfs2htuhvwh3no32iv_">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61 (39): ACURA, AE, ALFA ROMEO, ASTON MARTIN, AUDI, BASF, BENTLEY, BERAL, BERU, BLUEPRINT, BMW, BOSCH, BREMBO, BUGATTI, CADILLAC, CASE, CASE IH AGRICULTURE, CHAMPION, CHEVROLET, CHRYSLER, CLAAS, CONTITECH, DAEWOO, DAF TRUCKS, DAIHATSU, DAIMLER, DATSUN, DAYCO, DELPHI,…</w:t>
            </w:r>
          </w:p>
          <w:p>
            <w:pPr>
              <w:spacing w:after="60"/>
              <w:ind w:left="220" w:hanging="160"/>
            </w:pPr>
            <w:r>
              <w:rPr>
                <w:rFonts w:ascii="Arial" w:cs="Arial" w:eastAsia="Arial" w:hAnsi="Arial"/>
                <w:sz w:val="19"/>
                <w:szCs w:val="19"/>
              </w:rPr>
              <w:t xml:space="preserve">• Пункт 81 (3925): DANFOSS, FHF, Schneider Electric</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6,5%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js96y1ifwiqwki5eji4dt">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p>
            <w:pPr>
              <w:spacing w:after="60"/>
            </w:pPr>
            <w:r>
              <w:rPr>
                <w:rFonts w:ascii="Arial" w:cs="Arial" w:eastAsia="Arial" w:hAnsi="Arial"/>
                <w:sz w:val="19"/>
                <w:szCs w:val="19"/>
              </w:rPr>
              <w:t xml:space="preserve">Без НДС — если товар отвечает наименованию перечня (</w:t>
            </w:r>
            <w:hyperlink w:history="1" r:id="rIda-wch59glnerkxwvcnzpu">
              <w:r>
                <w:rPr>
                  <w:rFonts w:ascii="Arial" w:cs="Arial" w:eastAsia="Arial" w:hAnsi="Arial"/>
                  <w:color w:val="1F5FBF"/>
                  <w:sz w:val="19"/>
                  <w:szCs w:val="19"/>
                  <w:u w:val="single"/>
                </w:rPr>
                <w:t xml:space="preserve">постановление Правительства РФ от 30.09.2015 № 1042</w:t>
              </w:r>
            </w:hyperlink>
            <w:r>
              <w:rPr>
                <w:rFonts w:ascii="Arial" w:cs="Arial" w:eastAsia="Arial" w:hAnsi="Arial"/>
                <w:sz w:val="19"/>
                <w:szCs w:val="19"/>
              </w:rPr>
              <w:t xml:space="preserve">), для медицинских изделий при их регистрации:</w:t>
            </w:r>
          </w:p>
          <w:p>
            <w:pPr>
              <w:spacing w:after="60"/>
              <w:ind w:left="220" w:hanging="160"/>
            </w:pPr>
            <w:r>
              <w:rPr>
                <w:rFonts w:ascii="Arial" w:cs="Arial" w:eastAsia="Arial" w:hAnsi="Arial"/>
                <w:sz w:val="19"/>
                <w:szCs w:val="19"/>
              </w:rPr>
              <w:t xml:space="preserve">• 3925 — Специальное оборудование для туалетных комнат (в том числе унитазы с подлокотниками, опорами, поручнями, подставками детскими, души и воздушные сушилки, кресла-стулья с санитарным оснащением)</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2jydhncb9swdfagco8zy1">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o0pl1rja2-ie40tdegezq">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hyperlink w:history="1" r:id="rIds06muvpnj3ut0_dx6y1cj">
              <w:r>
                <w:rPr>
                  <w:rFonts w:ascii="Arial" w:cs="Arial" w:eastAsia="Arial" w:hAnsi="Arial"/>
                  <w:b/>
                  <w:bCs/>
                  <w:color w:val="1F5FBF"/>
                  <w:sz w:val="19"/>
                  <w:szCs w:val="19"/>
                  <w:u w:val="single"/>
                </w:rPr>
                <w:t xml:space="preserve">ТР ТС 019/2011</w:t>
              </w:r>
            </w:hyperlink>
            <w:r>
              <w:rPr>
                <w:rFonts w:ascii="Arial" w:cs="Arial" w:eastAsia="Arial" w:hAnsi="Arial"/>
                <w:b/>
                <w:bCs/>
                <w:sz w:val="19"/>
                <w:szCs w:val="19"/>
              </w:rPr>
              <w:t xml:space="preserve"> «О безопасности средств индивидуальной защиты»</w:t>
            </w:r>
          </w:p>
          <w:p>
            <w:pPr>
              <w:spacing w:after="60"/>
              <w:ind w:left="220" w:hanging="160"/>
            </w:pPr>
            <w:r>
              <w:rPr>
                <w:rFonts w:ascii="Arial" w:cs="Arial" w:eastAsia="Arial" w:hAnsi="Arial"/>
                <w:sz w:val="19"/>
                <w:szCs w:val="19"/>
              </w:rPr>
              <w:t xml:space="preserve">• декларация о соответствии: Противошумные вкладыши (беруши) (касается части товаров кода)</w:t>
            </w:r>
          </w:p>
          <w:p>
            <w:pPr>
              <w:spacing w:after="60"/>
            </w:pPr>
            <w:r>
              <w:rPr>
                <w:rFonts w:ascii="Arial" w:cs="Arial" w:eastAsia="Arial" w:hAnsi="Arial"/>
                <w:b/>
                <w:bCs/>
                <w:sz w:val="19"/>
                <w:szCs w:val="19"/>
              </w:rPr>
              <w:t xml:space="preserve">Постановление № 2425 «Единый перечень продукции: сертификация и декларирование в РФ»</w:t>
            </w:r>
          </w:p>
          <w:p>
            <w:pPr>
              <w:spacing w:after="60"/>
              <w:ind w:left="220" w:hanging="160"/>
            </w:pPr>
            <w:r>
              <w:rPr>
                <w:rFonts w:ascii="Arial" w:cs="Arial" w:eastAsia="Arial" w:hAnsi="Arial"/>
                <w:sz w:val="19"/>
                <w:szCs w:val="19"/>
              </w:rPr>
              <w:t xml:space="preserve">• декларация о соответствии: Блоки оконные и балконные дверные из полимерных материалов</w:t>
            </w:r>
          </w:p>
          <w:p>
            <w:pPr>
              <w:spacing w:after="60"/>
            </w:pPr>
            <w:r>
              <w:rPr>
                <w:rFonts w:ascii="Arial" w:cs="Arial" w:eastAsia="Arial" w:hAnsi="Arial"/>
                <w:sz w:val="19"/>
                <w:szCs w:val="19"/>
              </w:rPr>
              <w:t xml:space="preserve">Если товар является медицинским изделием, ввоз и продажа в России допускаются после государственной регистрации: в Росздравнадзоре (статья 38 Федерального закона № 323-ФЗ) или по правилам ЕАЭС (решение Совета ЕЭК от 12.02.2016 № 46).</w:t>
            </w:r>
          </w:p>
          <w:p>
            <w:pPr>
              <w:spacing w:after="60"/>
            </w:pPr>
            <w:r>
              <w:rPr>
                <w:rFonts w:ascii="Arial" w:cs="Arial" w:eastAsia="Arial" w:hAnsi="Arial"/>
                <w:color w:val="5B6472"/>
                <w:sz w:val="17"/>
                <w:szCs w:val="17"/>
              </w:rPr>
              <w:t xml:space="preserve">На практике по субпозиции 3925 20 действует сертификатов: 0, деклараций: 15; чаще по </w:t>
            </w:r>
            <w:hyperlink w:history="1" r:id="rIdr41jboqihkpse8eiqm4j4">
              <w:r>
                <w:rPr>
                  <w:rFonts w:ascii="Arial" w:cs="Arial" w:eastAsia="Arial" w:hAnsi="Arial"/>
                  <w:color w:val="1F5FBF"/>
                  <w:sz w:val="17"/>
                  <w:szCs w:val="17"/>
                  <w:u w:val="single"/>
                </w:rPr>
                <w:t xml:space="preserve">ТР ТС 020/2011</w:t>
              </w:r>
            </w:hyperlink>
            <w:r>
              <w:rPr>
                <w:rFonts w:ascii="Arial" w:cs="Arial" w:eastAsia="Arial" w:hAnsi="Arial"/>
                <w:color w:val="5B6472"/>
                <w:sz w:val="17"/>
                <w:szCs w:val="17"/>
              </w:rPr>
              <w:t xml:space="preserve">, </w:t>
            </w:r>
            <w:hyperlink w:history="1" r:id="rIdea7_ev1vgu2tpus_n4dfi">
              <w:r>
                <w:rPr>
                  <w:rFonts w:ascii="Arial" w:cs="Arial" w:eastAsia="Arial" w:hAnsi="Arial"/>
                  <w:color w:val="1F5FBF"/>
                  <w:sz w:val="17"/>
                  <w:szCs w:val="17"/>
                  <w:u w:val="single"/>
                </w:rPr>
                <w:t xml:space="preserve">ТР ТС 010/2011</w:t>
              </w:r>
            </w:hyperlink>
            <w:r>
              <w:rPr>
                <w:rFonts w:ascii="Arial" w:cs="Arial" w:eastAsia="Arial" w:hAnsi="Arial"/>
                <w:color w:val="5B6472"/>
                <w:sz w:val="17"/>
                <w:szCs w:val="17"/>
              </w:rPr>
              <w:t xml:space="preserve">, </w:t>
            </w:r>
            <w:hyperlink w:history="1" r:id="rIdfcsns9o30hx_swdpzvuem">
              <w:r>
                <w:rPr>
                  <w:rFonts w:ascii="Arial" w:cs="Arial" w:eastAsia="Arial" w:hAnsi="Arial"/>
                  <w:color w:val="1F5FBF"/>
                  <w:sz w:val="17"/>
                  <w:szCs w:val="17"/>
                  <w:u w:val="single"/>
                </w:rPr>
                <w:t xml:space="preserve">ТР ТС 004/2011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(товары) для детей: игры и игрушки, постельное белье, одежда, обувь, учебные пособия, мебель, коляски, сумки (ранцы, рюкзаки, портфели и т. п.), дневники и аналогичные изделия, тетради, прочая канцелярская продукция (товары) из бумаги и картона, принадлежности канцелярские или школьные искусственные полимерные и синтетические материалы для изготовления продукции (товаров) детского…</w:t>
            </w:r>
          </w:p>
          <w:p>
            <w:pPr>
              <w:spacing w:after="60"/>
            </w:pPr>
            <w:hyperlink w:history="1" r:id="rIdj-z-1apycl1gd5qsiynmx">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k4ntkk2aiq5pqhwgkxctr">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Решения ЕЭК о классификации отдельных товаров:</w:t>
            </w:r>
          </w:p>
          <w:p>
            <w:pPr>
              <w:spacing w:after="60"/>
              <w:ind w:left="220" w:hanging="160"/>
            </w:pPr>
            <w:r>
              <w:rPr>
                <w:rFonts w:ascii="Arial" w:cs="Arial" w:eastAsia="Arial" w:hAnsi="Arial"/>
                <w:sz w:val="19"/>
                <w:szCs w:val="19"/>
              </w:rPr>
              <w:t xml:space="preserve">• </w:t>
            </w:r>
            <w:hyperlink w:history="1" r:id="rIdwni0dvokcy6tbfkl0fptk">
              <w:r>
                <w:rPr>
                  <w:rFonts w:ascii="Arial" w:cs="Arial" w:eastAsia="Arial" w:hAnsi="Arial"/>
                  <w:color w:val="1F5FBF"/>
                  <w:sz w:val="19"/>
                  <w:szCs w:val="19"/>
                  <w:u w:val="single"/>
                </w:rPr>
                <w:t xml:space="preserve">Решение Коллегии ЕЭК № 56 от 23.05.2017</w:t>
              </w:r>
            </w:hyperlink>
            <w:r>
              <w:rPr>
                <w:rFonts w:ascii="Arial" w:cs="Arial" w:eastAsia="Arial" w:hAnsi="Arial"/>
                <w:sz w:val="19"/>
                <w:szCs w:val="19"/>
              </w:rPr>
              <w:t xml:space="preserve">: О классификации профилей, панелей, террасной доски и фасадных панелей, изготовленных из древесно-полимерного композита, в соответствии с единой Товарной номенклатурой внешнеэкономической деятельности Евразийского…</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3925200000</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ОООО-ХТ — Освобождение от уплаты НДС в отношении ввозимых в Российскую Федерацию медицинских изделий · если товар отвечает наименованию перечня освобождения от НДС (постановление № 1042)</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01402 — Декларация о соответствии требованиям технического регламента Евразийского экономического союза (Таможенного союза) · </w:t>
            </w:r>
            <w:hyperlink w:history="1" r:id="rId33te7trsanfwx7nlyuepv">
              <w:r>
                <w:rPr>
                  <w:rFonts w:ascii="Arial" w:cs="Arial" w:eastAsia="Arial" w:hAnsi="Arial"/>
                  <w:color w:val="1F5FBF"/>
                  <w:sz w:val="19"/>
                  <w:szCs w:val="19"/>
                  <w:u w:val="single"/>
                </w:rPr>
                <w:t xml:space="preserve">ТР ТС 019/2011</w:t>
              </w:r>
            </w:hyperlink>
          </w:p>
          <w:p>
            <w:pPr>
              <w:spacing w:after="60"/>
              <w:ind w:left="220" w:hanging="160"/>
            </w:pPr>
            <w:r>
              <w:rPr>
                <w:rFonts w:ascii="Arial" w:cs="Arial" w:eastAsia="Arial" w:hAnsi="Arial"/>
                <w:sz w:val="19"/>
                <w:szCs w:val="19"/>
              </w:rPr>
              <w:t xml:space="preserve">• 01408 — Документ об оценке соответствия, предусмотренный законодательством государства – члена Евразийского экономического союза, на территории которого продукция (товар) помещается под таможенные процедуры · Постановление № 2425</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fkgqsvbw6klp0bjqjvw3s">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4ou1o3yawaao1wgghclgu">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uh1fkcq2vw4swe_jw9i3h">
              <w:r>
                <w:rPr>
                  <w:rFonts w:ascii="Arial" w:cs="Arial" w:eastAsia="Arial" w:hAnsi="Arial"/>
                  <w:color w:val="1F5FBF"/>
                  <w:sz w:val="19"/>
                  <w:szCs w:val="19"/>
                  <w:u w:val="single"/>
                </w:rPr>
                <w:t xml:space="preserve">Решение Совета ЕЭК № 41 от 23.06.2017</w:t>
              </w:r>
            </w:hyperlink>
            <w:r>
              <w:rPr>
                <w:rFonts w:ascii="Arial" w:cs="Arial" w:eastAsia="Arial" w:hAnsi="Arial"/>
                <w:sz w:val="19"/>
                <w:szCs w:val="19"/>
              </w:rPr>
              <w:t xml:space="preserve"> —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 (вступило в силу 01.09.2017)</w:t>
            </w:r>
          </w:p>
          <w:p>
            <w:pPr>
              <w:spacing w:after="60"/>
              <w:ind w:left="220" w:hanging="160"/>
            </w:pPr>
            <w:r>
              <w:rPr>
                <w:rFonts w:ascii="Arial" w:cs="Arial" w:eastAsia="Arial" w:hAnsi="Arial"/>
                <w:sz w:val="19"/>
                <w:szCs w:val="19"/>
              </w:rPr>
              <w:t xml:space="preserve">• </w:t>
            </w:r>
            <w:hyperlink w:history="1" r:id="rId05ze7e9odyy8trivzuvom">
              <w:r>
                <w:rPr>
                  <w:rFonts w:ascii="Arial" w:cs="Arial" w:eastAsia="Arial" w:hAnsi="Arial"/>
                  <w:color w:val="1F5FBF"/>
                  <w:sz w:val="19"/>
                  <w:szCs w:val="19"/>
                  <w:u w:val="single"/>
                </w:rPr>
                <w:t xml:space="preserve">Решение Совета ЕЭК № 40 от 16.05.2016</w:t>
              </w:r>
            </w:hyperlink>
            <w:r>
              <w:rPr>
                <w:rFonts w:ascii="Arial" w:cs="Arial" w:eastAsia="Arial" w:hAnsi="Arial"/>
                <w:sz w:val="19"/>
                <w:szCs w:val="19"/>
              </w:rPr>
              <w:t xml:space="preserve"> —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 (вступило в силу 01.09.2016)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22.23.14 — Блоки дверные и оконные, пороги для дверей, ставни, жалюзи и аналогичные изделия и их части пластмассовые</w:t>
            </w:r>
          </w:p>
          <w:p>
            <w:pPr>
              <w:spacing w:after="60"/>
            </w:pPr>
            <w:r>
              <w:rPr>
                <w:rFonts w:ascii="Arial" w:cs="Arial" w:eastAsia="Arial" w:hAnsi="Arial"/>
                <w:color w:val="5B6472"/>
                <w:sz w:val="17"/>
                <w:szCs w:val="17"/>
              </w:rPr>
              <w:t xml:space="preserve">Ключи не исчерпывающие: ОКПД2 выбирают по виду деятельности и продукции.</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https://imexp.ru/katalog/kod/3925200000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neltbbg8xdr0wjrtt53al" Type="http://schemas.openxmlformats.org/officeDocument/2006/relationships/hyperlink" Target="https://docs.eaeunion.org/documents/386/6099/" TargetMode="External"/><Relationship Id="rId8yf8tmsbzr0xcttfdtdyj" Type="http://schemas.openxmlformats.org/officeDocument/2006/relationships/hyperlink" Target="https://docs.eaeunion.org/documents/386/6099/" TargetMode="External"/><Relationship Id="rIdgamblsxk2sr8ddzixbfbi" Type="http://schemas.openxmlformats.org/officeDocument/2006/relationships/hyperlink" Target="https://eec.eaeunion.org/comission/department/deptexreg/tr/bezopSIZ.php" TargetMode="External"/><Relationship Id="rIdvdiq0fbwj8i83tpzjqmi8" Type="http://schemas.openxmlformats.org/officeDocument/2006/relationships/hyperlink" Target="http://publication.pravo.gov.ru/document/0001202203140039" TargetMode="External"/><Relationship Id="rIdbfh7_vrxnyge-ad6mbiik" Type="http://schemas.openxmlformats.org/officeDocument/2006/relationships/hyperlink" Target="http://publication.pravo.gov.ru/document/0001202410080008" TargetMode="External"/><Relationship Id="rId81mxfsa0yrypwppwa6r7l" Type="http://schemas.openxmlformats.org/officeDocument/2006/relationships/hyperlink" Target="https://docs.eaeunion.org/documents/335/4666/" TargetMode="External"/><Relationship Id="rIdyhzth1d5sdv837f9qmfen" Type="http://schemas.openxmlformats.org/officeDocument/2006/relationships/hyperlink" Target="http://publication.pravo.gov.ru/document/0001202308040119" TargetMode="External"/><Relationship Id="rId7ybrh3hdruca8drafnhol" Type="http://schemas.openxmlformats.org/officeDocument/2006/relationships/hyperlink" Target="https://eur-lex.europa.eu/eli/reg/2014/833/oj/eng" TargetMode="External"/><Relationship Id="rIdxev-khthyjbsforvu-srt" Type="http://schemas.openxmlformats.org/officeDocument/2006/relationships/hyperlink" Target="https://www.legislation.gov.uk/uksi/2019/855/contents" TargetMode="External"/><Relationship Id="rIdwle2x3bmhvzn2krmymk1h" Type="http://schemas.openxmlformats.org/officeDocument/2006/relationships/hyperlink" Target="https://www.ecfr.gov/current/title-15/subtitle-B/chapter-VII/subchapter-C/part-746" TargetMode="External"/><Relationship Id="rId4ukfs2htuhvwh3no32iv_" Type="http://schemas.openxmlformats.org/officeDocument/2006/relationships/hyperlink" Target="http://publication.pravo.gov.ru/document/0001202308040119" TargetMode="External"/><Relationship Id="rIdjs96y1ifwiqwki5eji4dt" Type="http://schemas.openxmlformats.org/officeDocument/2006/relationships/hyperlink" Target="https://docs.eaeunion.org/documents/386/6099/" TargetMode="External"/><Relationship Id="rIda-wch59glnerkxwvcnzpu" Type="http://schemas.openxmlformats.org/officeDocument/2006/relationships/hyperlink" Target="http://publication.pravo.gov.ru/document/0001201510050001" TargetMode="External"/><Relationship Id="rId2jydhncb9swdfagco8zy1" Type="http://schemas.openxmlformats.org/officeDocument/2006/relationships/hyperlink" Target="http://publication.pravo.gov.ru/document/0001202411290098" TargetMode="External"/><Relationship Id="rIdo0pl1rja2-ie40tdegezq" Type="http://schemas.openxmlformats.org/officeDocument/2006/relationships/hyperlink" Target="http://publication.pravo.gov.ru/document/0001201805040007" TargetMode="External"/><Relationship Id="rIds06muvpnj3ut0_dx6y1cj" Type="http://schemas.openxmlformats.org/officeDocument/2006/relationships/hyperlink" Target="https://eec.eaeunion.org/comission/department/deptexreg/tr/bezopSIZ.php" TargetMode="External"/><Relationship Id="rIdr41jboqihkpse8eiqm4j4" Type="http://schemas.openxmlformats.org/officeDocument/2006/relationships/hyperlink" Target="https://eec.eaeunion.org/comission/department/deptexreg/tr/EMS.php" TargetMode="External"/><Relationship Id="rIdea7_ev1vgu2tpus_n4dfi" Type="http://schemas.openxmlformats.org/officeDocument/2006/relationships/hyperlink" Target="https://eec.eaeunion.org/comission/department/deptexreg/tr/bezopMashines.php" TargetMode="External"/><Relationship Id="rIdfcsns9o30hx_swdpzvuem" Type="http://schemas.openxmlformats.org/officeDocument/2006/relationships/hyperlink" Target="https://eec.eaeunion.org/comission/department/deptexreg/tr/Down_Volt.php" TargetMode="External"/><Relationship Id="rIdj-z-1apycl1gd5qsiynmx" Type="http://schemas.openxmlformats.org/officeDocument/2006/relationships/hyperlink" Target="https://docs.eaeunion.org/documents/335/4666/" TargetMode="External"/><Relationship Id="rIdk4ntkk2aiq5pqhwgkxctr" Type="http://schemas.openxmlformats.org/officeDocument/2006/relationships/hyperlink" Target="http://publication.pravo.gov.ru/document/0001202207190026" TargetMode="External"/><Relationship Id="rIdwni0dvokcy6tbfkl0fptk" Type="http://schemas.openxmlformats.org/officeDocument/2006/relationships/hyperlink" Target="https://docs.eaeunion.org/documents/315/2980/" TargetMode="External"/><Relationship Id="rId33te7trsanfwx7nlyuepv" Type="http://schemas.openxmlformats.org/officeDocument/2006/relationships/hyperlink" Target="https://eec.eaeunion.org/comission/department/deptexreg/tr/bezopSIZ.php" TargetMode="External"/><Relationship Id="rIdfkgqsvbw6klp0bjqjvw3s" Type="http://schemas.openxmlformats.org/officeDocument/2006/relationships/hyperlink" Target="https://docs.eaeunion.org/documents/214/946/" TargetMode="External"/><Relationship Id="rId4ou1o3yawaao1wgghclgu" Type="http://schemas.openxmlformats.org/officeDocument/2006/relationships/hyperlink" Target="https://docs.eaeunion.org/documents/208/8939/" TargetMode="External"/><Relationship Id="rIduh1fkcq2vw4swe_jw9i3h" Type="http://schemas.openxmlformats.org/officeDocument/2006/relationships/hyperlink" Target="https://docs.eaeunion.org/documents/317/3082/" TargetMode="External"/><Relationship Id="rId05ze7e9odyy8trivzuvom" Type="http://schemas.openxmlformats.org/officeDocument/2006/relationships/hyperlink" Target="https://docs.eaeunion.org/documents/306/2289/" TargetMode="External"/><Relationship Id="rId3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3925 20 000 0</dc:title>
  <dc:creator>IMEXP</dc:creator>
  <cp:lastModifiedBy>Un-named</cp:lastModifiedBy>
  <cp:revision>1</cp:revision>
  <dcterms:created xsi:type="dcterms:W3CDTF">2026-10-28T16:05:29.822Z</dcterms:created>
  <dcterms:modified xsi:type="dcterms:W3CDTF">2026-10-28T16:05:29.822Z</dcterms:modified>
</cp:coreProperties>
</file>

<file path=docProps/custom.xml><?xml version="1.0" encoding="utf-8"?>
<Properties xmlns="http://schemas.openxmlformats.org/officeDocument/2006/custom-properties" xmlns:vt="http://schemas.openxmlformats.org/officeDocument/2006/docPropsVTypes"/>
</file>