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80"/>
      </w:pPr>
      <w:r>
        <w:rPr>
          <w:rFonts w:ascii="Arial" w:cs="Arial" w:eastAsia="Arial" w:hAnsi="Arial"/>
          <w:b/>
          <w:bCs/>
          <w:sz w:val="30"/>
          <w:szCs w:val="30"/>
        </w:rPr>
        <w:t xml:space="preserve">Справка о товаре: ввоз в Россию</w:t>
      </w:r>
    </w:p>
    <w:p>
      <w:pPr>
        <w:spacing w:after="8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Код ТН ВЭД ЕАЭС 4810 99 800 0</w:t>
      </w:r>
    </w:p>
    <w:p>
      <w:pPr>
        <w:spacing w:after="200"/>
      </w:pPr>
      <w:r>
        <w:rPr>
          <w:rFonts w:ascii="Arial" w:cs="Arial" w:eastAsia="Arial" w:hAnsi="Arial"/>
          <w:color w:val="5B6472"/>
          <w:sz w:val="19"/>
          <w:szCs w:val="19"/>
        </w:rPr>
        <w:t xml:space="preserve">Сведения на 28.10.2026</w:t>
      </w:r>
    </w:p>
    <w:tbl>
      <w:tblPr>
        <w:tblW w:type="dxa" w:w="10204"/>
        <w:tblBorders>
          <w:top w:val="single" w:color="C9CFD8" w:sz="4"/>
          <w:left w:val="single" w:color="C9CFD8" w:sz="4"/>
          <w:bottom w:val="single" w:color="C9CFD8" w:sz="4"/>
          <w:right w:val="single" w:color="C9CFD8" w:sz="4"/>
          <w:insideH w:val="single" w:color="C9CFD8" w:sz="4"/>
          <w:insideV w:val="single" w:color="C9CFD8" w:sz="4"/>
        </w:tblBorders>
      </w:tblPr>
      <w:tblGrid>
        <w:gridCol w:w="2600"/>
        <w:gridCol w:w="7604"/>
      </w:tblGrid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Наименование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Раздел X. Масса из древесины или из других волокнистых целлюлозных материалов; регенерируемые бумага или картон (макулатура и отходы); бумага, картон и изделия из них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48 — БУМАГА И КАРТОН; ИЗДЕЛИЯ ИЗ БУМАЖНОЙ МАССЫ, БУМАГИ ИЛИ КАРТОНА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4810 — Бумага и картон, покрытые с одной или с обеих сторон каолином (китайской глиной) или другими неорганическими веществами, с использованием связующего вещества или без него, и без какого-либо другого покрытия, с окрашенной или неокрашенной, декорированной или недекорированной поверхностью, напечатанные или ненапечатанные, в рулонах или прямоугольных (включая квадратные) листах любого размера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4810 99 — Бумага и картон прочие: прочие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4810 99 80 — Бумага и картон прочие: прочие: прочие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4810 99 800 0 — Бумага и картон прочие: прочие: прочие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bl726oeoviitdkeanfvmg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Дополнительная единица измерения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Не применяется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svrprelfjuskdvqsiigj6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Какие документы нужны при ввозе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Свидетельство о госрегистрации (СГР) — </w:t>
            </w:r>
            <w:hyperlink w:history="1" r:id="rIdfxnd4r3zzwifmn1fxnitx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Комиссии Таможенного союза № 299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раздел II (если товар относится к этому виду)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Санитарно-эпидемиологический надзор — </w:t>
            </w:r>
            <w:hyperlink w:history="1" r:id="rIdv7xwu-1l8yrefqjdy1pzq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Евразийской экономической комиссии от 17.09.2019 № 154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(касается части товаров кода)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других стран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Страна продавца запрещает вывоз такого товара в Россию: касается товара, который покупают в этой стране или у её компаний.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ЕС: </w:t>
            </w:r>
            <w:hyperlink w:history="1" r:id="rIdkpq-q51qr3eaays3qsfei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Регламент Совета ЕС № 833/2014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приложение XXIII (промышленные товары)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Великобритания: </w:t>
            </w:r>
            <w:hyperlink w:history="1" r:id="rIdra2ayp5x203uyctn336_o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Регламент Великобритании о санкциях против России 2019 года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приложение 3E (товары зависимости G7)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США: </w:t>
            </w:r>
            <w:hyperlink w:history="1" r:id="rIdfs97ec89js4ij2jnnofmk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Правила экспортного контроля США (EAR), часть 746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дополнение № 4 (промышленные товары)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Ввозная пошлина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5% — ставка Единого таможенного тарифа ЕАЭС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Решение Совета ЕЭК № 13 от 30.01.2026; ставка действует с 08.03.2026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Товар из наименее развитых стран (46): преференция, ставка 0%.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Условия преференции: документ о происхождении товара и прямая поставка. </w:t>
            </w:r>
            <w:hyperlink w:history="1" r:id="rIduicfb9n3xym0abr7mbvec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13.01.2017 № 8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Особые виды пошлин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Антидемпинговые, компенсационные и специальные пошлины по коду не применяются.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Договор о Евразийском экономическом союзе от 29.05.2014, приложение № 8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Акциз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Подакцизных видов товаров по коду нет (статья 181 НК РФ).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НДС при ввозе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22% — основная ставка (статья 164 НК РФ).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Таможенный сбор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Зависит от таможенной стоимости товаров в декларации (2026):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0 до 200 000 ₽ — 1 231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200 000 до 450 000 ₽ — 2 462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450 000 до 1 200 000 ₽ — 4 924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1 200 000 до 2 700 000 ₽ — 13 541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2 700 000 до 4 200 000 ₽ — 18 465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4 200 000 до 5 500 000 ₽ — 21 344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5 500 000 до 10 000 000 ₽ — 49 240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свыше 10 000 000 ₽ — 73 860 ₽</w:t>
            </w:r>
          </w:p>
          <w:p>
            <w:pPr>
              <w:spacing w:after="60"/>
            </w:pPr>
            <w:hyperlink w:history="1" r:id="rIdagcyxclx8kk5fuifhmjxv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28.11.2024 № 1637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 в редакции от 23.10.2025 № 1638.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и ограничения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Запретов и разрешительного порядка на ввоз по коду в перечнях России и ЕАЭС нет.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Обязательная маркировка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в перечне товаров с обязательной маркировкой (</w:t>
            </w:r>
            <w:hyperlink w:history="1" r:id="rIdji0ja2guqbxs2puiiidvo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распоряжение № 792-р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в редакции № 1765-р, № 249-р и № 956-р).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Разрешительные документы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в перечнях техрегламентов ЕАЭС и в едином перечне России (постановление № 2425), которые мы сверяем.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Свидетельство о государственной регистрации — если товар относится к категориям раздела II Единого перечня (</w:t>
            </w:r>
            <w:hyperlink w:history="1" r:id="rId7ekgulkxcnkqz0xsk6ofb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Комиссии Таможенного союза от 28.05.2010 № 299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: дезсредства, бытовая химия, потенциально опасные вещества, водоподготовка, гигиена для взрослых, изделия для контакта с пищей) и подходит под наименование строки: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из 4810 — Бумага и картон, покрытые с одной или с обеих сторон каолином (китайской глиной) или другими неорганическими веществами, с использованием связующего вещества или без него, и без какого-либо другого покрытия, с окрашенной или неокрашенной, декорированной или недекорированной поверхностью,…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На практике по субпозиции 4810 99 действует сертификатов: 0, деклараций: 23; чаще по </w:t>
            </w:r>
            <w:hyperlink w:history="1" r:id="rIdznvi8q0gauzhsfj85kbd1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ТР ТС 005/2011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</w:t>
            </w:r>
            <w:hyperlink w:history="1" r:id="rIdyjf3f5fv1za3x87ly43ru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ТР ТС 007/2011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Ветеринарный, фитосанитарный и санитарный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Санитарно-эпидемиологический надзор (контроль) (в перечне названа вся группа: касается товаров с этим наименованием): Продукция (товары) для детей: игры и игрушки, постельное белье, одежда, обувь, учебные пособия, мебель, коляски, сумки (ранцы, рюкзаки, портфели и т. п.), дневники и аналогичные изделия, тетради, прочая канцелярская продукция (товары) из бумаги и картона, принадлежности канцелярские или школьные искусственные полимерные и синтетические материалы для изготовления продукции (товаров) детского…</w:t>
            </w:r>
          </w:p>
          <w:p>
            <w:pPr>
              <w:spacing w:after="60"/>
            </w:pPr>
            <w:hyperlink w:history="1" r:id="rIdtyqwjd8ztgjwd5skthmji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Коллегии Евразийской экономической комиссии от 17.09.2019 № 154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Прочие особенности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Деревянная упаковка и крепёжный материал (поддоны, ящики, прокладки) должны иметь маркировку по международному стандарту МСФМ № 15 (Единые карантинные фитосанитарные требования, решение Совета ЕЭК от 30.11.2016 № 157).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Если на товаре есть товарный знак, проверьте его в таможенном реестре объектов интеллектуальной собственности: выпуск товара со знаком из реестра могут приостановить до подтверждения прав. Поиск по реестру: https://imexp.ru/tools/proverka-tovara?tab=trois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Экспортный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ни в одном из шести контрольных списков экспортного контроля (</w:t>
            </w:r>
            <w:hyperlink w:history="1" r:id="rId4huhmnb9mnwa8nfvfppm6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постановления Правительства РФ от 16.07.2022 № 1284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–1288 и от 19.07.2022 № 1299).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Классификация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Решений о классификации по коду в наших наборах нет.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Таможенный кодекс ЕАЭС, статьи 20–22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Декларирование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33 · Код товара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4810998000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 — во втором подразделе, если товар по характеристикам не подпадает под запреты и ограничения, которые применяются к коду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 — во втором подразделе, если под одним кодом декларируются товары разных наименований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36 · Преференция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ОООО-ОО — Сборы, пошлина, акциз, НДС: льготы не запрашиваются, акциза нет (прочерк)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ООНН-ОО — Тарифная преференция в отношении товаров, происходящих из наименее развитых стран · если товар происходит из наименее развитой страны и происхождение подтверждено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44 · Представленные документы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01206 — Свидетельство о государственной регистрации, выданное уполномоченным органом государства–члена Евразийского экономического союза в области санитарно-эпидемиологического благополучия населения · </w:t>
            </w:r>
            <w:hyperlink w:history="1" r:id="rIdbrbu0vz-bn1jthocybuas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Комиссии Таможенного союза № 299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раздел II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06013 — Сертификат о происхождении товара формы "А" · если товар ввозится с тарифной преференцией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47 · Исчисление платежей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1010 — Таможенные сборы за совершение таможенных операций (за таможенное оформление товаров, за таможенное декларирование товаров, за таможенные операции)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2010 — Ввозная таможенная пошлина (иные пошлины, налоги и сборы, имеющие эквивалентное действие), обязанность по уплате которой возникла с 1 сентября 2010 г.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5010 — Налог на добавленную стоимость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</w:t>
            </w:r>
            <w:hyperlink w:history="1" r:id="rIdrvo_2l8kjcm-8obun4yln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20.05.2010 № 257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; классификаторы — </w:t>
            </w:r>
            <w:hyperlink w:history="1" r:id="rIdyxu2t_anxl4mryzzezmys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20.09.2010 № 378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 менялась ставка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Решения ЕЭК с 2016 года, в тексте которых назван код: ставка пошлины, тарифные квоты, защитные и антидемпинговые пошлины. Прежняя ставка — в таблице самого решения.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466qlehymzv0wdz6zqsh3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113 от 25.08.2026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применении ставок ввозных таможенных пошлин в отношении товаров, происходящих из Объединенных Арабских Эмиратов и ввозимых на таможенную территорию Евразийского экономического союза (вступило в силу 06.10.2026)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0d26q9gc6nzdlqou7syrj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13 от 30.01.2026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изменений в единую Товарную номенклатуру внешнеэкономической деятельности Евразийского экономического союза и Единый таможенный тариф Евразийского экономического союза, а также в решения… (вступило в силу 08.03.2026)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Переходные ключи ОКПД2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Ключей для этого кода в таблице Минэкономразвития нет.</w:t>
            </w:r>
          </w:p>
        </w:tc>
      </w:tr>
    </w:tbl>
    <w:p>
      <w:pPr>
        <w:spacing w:after="60" w:before="240"/>
      </w:pP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Справка собрана автоматически по официальным актам ЕАЭС и России. Меры, найденные по началу кода, помечены как касающиеся части товаров: применима ли мера к вашему товару, решают его характеристики и документы поставки. Справка не заменяет решение по классификации.</w:t>
      </w: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Разъяснительные письма таможни и судебная практика в справку не входят. Проверку кода под ваш товар с обоснованием можно заказать на странице кода.</w:t>
      </w:r>
    </w:p>
    <w:p>
      <w:pPr>
        <w:jc w:val="left"/>
      </w:pPr>
      <w:r>
        <w:rPr>
          <w:rFonts w:ascii="Arial" w:cs="Arial" w:eastAsia="Arial" w:hAnsi="Arial"/>
          <w:color w:val="1F5FBF"/>
          <w:sz w:val="17"/>
          <w:szCs w:val="17"/>
        </w:rPr>
        <w:t xml:space="preserve">https://imexp.ru/katalog/kod/4810998000</w:t>
      </w:r>
    </w:p>
    <w:sectPr>
      <w:pgSz w:w="11906" w:h="16838" w:orient="portrait"/>
      <w:pgMar w:top="851" w:right="851" w:bottom="851" w:left="851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bl726oeoviitdkeanfvmg" Type="http://schemas.openxmlformats.org/officeDocument/2006/relationships/hyperlink" Target="https://docs.eaeunion.org/documents/386/6099/" TargetMode="External"/><Relationship Id="rIdsvrprelfjuskdvqsiigj6" Type="http://schemas.openxmlformats.org/officeDocument/2006/relationships/hyperlink" Target="https://docs.eaeunion.org/documents/386/6099/" TargetMode="External"/><Relationship Id="rIdfxnd4r3zzwifmn1fxnitx" Type="http://schemas.openxmlformats.org/officeDocument/2006/relationships/hyperlink" Target="https://docs.eaeunion.org/documents/211/8993/" TargetMode="External"/><Relationship Id="rIdv7xwu-1l8yrefqjdy1pzq" Type="http://schemas.openxmlformats.org/officeDocument/2006/relationships/hyperlink" Target="https://docs.eaeunion.org/documents/335/4666/" TargetMode="External"/><Relationship Id="rIdkpq-q51qr3eaays3qsfei" Type="http://schemas.openxmlformats.org/officeDocument/2006/relationships/hyperlink" Target="https://eur-lex.europa.eu/eli/reg/2014/833/oj/eng" TargetMode="External"/><Relationship Id="rIdra2ayp5x203uyctn336_o" Type="http://schemas.openxmlformats.org/officeDocument/2006/relationships/hyperlink" Target="https://www.legislation.gov.uk/uksi/2019/855/contents" TargetMode="External"/><Relationship Id="rIdfs97ec89js4ij2jnnofmk" Type="http://schemas.openxmlformats.org/officeDocument/2006/relationships/hyperlink" Target="https://www.ecfr.gov/current/title-15/subtitle-B/chapter-VII/subchapter-C/part-746" TargetMode="External"/><Relationship Id="rIduicfb9n3xym0abr7mbvec" Type="http://schemas.openxmlformats.org/officeDocument/2006/relationships/hyperlink" Target="https://docs.eaeunion.org/documents/317/2804/" TargetMode="External"/><Relationship Id="rIdagcyxclx8kk5fuifhmjxv" Type="http://schemas.openxmlformats.org/officeDocument/2006/relationships/hyperlink" Target="http://publication.pravo.gov.ru/document/0001202411290098" TargetMode="External"/><Relationship Id="rIdji0ja2guqbxs2puiiidvo" Type="http://schemas.openxmlformats.org/officeDocument/2006/relationships/hyperlink" Target="http://publication.pravo.gov.ru/document/0001201805040007" TargetMode="External"/><Relationship Id="rId7ekgulkxcnkqz0xsk6ofb" Type="http://schemas.openxmlformats.org/officeDocument/2006/relationships/hyperlink" Target="https://docs.eaeunion.org/documents/211/8993/" TargetMode="External"/><Relationship Id="rIdznvi8q0gauzhsfj85kbd1" Type="http://schemas.openxmlformats.org/officeDocument/2006/relationships/hyperlink" Target="https://eec.eaeunion.org/comission/department/deptexreg/tr/bezopypakovki.php" TargetMode="External"/><Relationship Id="rIdyjf3f5fv1za3x87ly43ru" Type="http://schemas.openxmlformats.org/officeDocument/2006/relationships/hyperlink" Target="https://eec.eaeunion.org/comission/department/deptexreg/tr/bezopDeti.php" TargetMode="External"/><Relationship Id="rIdtyqwjd8ztgjwd5skthmji" Type="http://schemas.openxmlformats.org/officeDocument/2006/relationships/hyperlink" Target="https://docs.eaeunion.org/documents/335/4666/" TargetMode="External"/><Relationship Id="rId4huhmnb9mnwa8nfvfppm6" Type="http://schemas.openxmlformats.org/officeDocument/2006/relationships/hyperlink" Target="http://publication.pravo.gov.ru/document/0001202207190026" TargetMode="External"/><Relationship Id="rIdbrbu0vz-bn1jthocybuas" Type="http://schemas.openxmlformats.org/officeDocument/2006/relationships/hyperlink" Target="https://docs.eaeunion.org/documents/211/8993/" TargetMode="External"/><Relationship Id="rIdrvo_2l8kjcm-8obun4yln" Type="http://schemas.openxmlformats.org/officeDocument/2006/relationships/hyperlink" Target="https://docs.eaeunion.org/documents/214/946/" TargetMode="External"/><Relationship Id="rIdyxu2t_anxl4mryzzezmys" Type="http://schemas.openxmlformats.org/officeDocument/2006/relationships/hyperlink" Target="https://docs.eaeunion.org/documents/208/8939/" TargetMode="External"/><Relationship Id="rId466qlehymzv0wdz6zqsh3" Type="http://schemas.openxmlformats.org/officeDocument/2006/relationships/hyperlink" Target="https://docs.eaeunion.org/documents/463/10896/" TargetMode="External"/><Relationship Id="rId0d26q9gc6nzdlqou7syrj" Type="http://schemas.openxmlformats.org/officeDocument/2006/relationships/hyperlink" Target="https://docs.eaeunion.org/documents/461/10520/" TargetMode="External"/><Relationship Id="rId2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Справка о товаре 4810 99 800 0</dc:title>
  <dc:creator>IMEXP</dc:creator>
  <cp:lastModifiedBy>Un-named</cp:lastModifiedBy>
  <cp:revision>1</cp:revision>
  <dcterms:created xsi:type="dcterms:W3CDTF">2026-10-28T13:49:50.869Z</dcterms:created>
  <dcterms:modified xsi:type="dcterms:W3CDTF">2026-10-28T13:49:50.869Z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