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7202 30 000 0</w:t>
      </w:r>
    </w:p>
    <w:p>
      <w:pPr>
        <w:spacing w:after="200"/>
      </w:pPr>
      <w:r>
        <w:rPr>
          <w:rFonts w:ascii="Arial" w:cs="Arial" w:eastAsia="Arial" w:hAnsi="Arial"/>
          <w:color w:val="5B6472"/>
          <w:sz w:val="19"/>
          <w:szCs w:val="19"/>
        </w:rPr>
        <w:t xml:space="preserve">Сведения на 05.11.2026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72 — ЧЕРНЫЕ МЕТАЛЛЫ</w:t>
            </w:r>
          </w:p>
          <w:p>
            <w:pPr>
              <w:spacing w:after="60"/>
            </w:pPr>
            <w:r>
              <w:rPr>
                <w:rFonts w:ascii="Arial" w:cs="Arial" w:eastAsia="Arial" w:hAnsi="Arial"/>
                <w:color w:val="5B6472"/>
                <w:sz w:val="17"/>
                <w:szCs w:val="17"/>
              </w:rPr>
              <w:t xml:space="preserve">7202 — Ферросплавы</w:t>
            </w:r>
          </w:p>
          <w:p>
            <w:pPr>
              <w:spacing w:after="60"/>
            </w:pPr>
            <w:r>
              <w:rPr>
                <w:rFonts w:ascii="Arial" w:cs="Arial" w:eastAsia="Arial" w:hAnsi="Arial"/>
                <w:color w:val="5B6472"/>
                <w:sz w:val="17"/>
                <w:szCs w:val="17"/>
              </w:rPr>
              <w:t xml:space="preserve">7202 30 — Ферросиликомарганец</w:t>
            </w:r>
          </w:p>
          <w:p>
            <w:pPr>
              <w:spacing w:after="60"/>
            </w:pPr>
            <w:r>
              <w:rPr>
                <w:rFonts w:ascii="Arial" w:cs="Arial" w:eastAsia="Arial" w:hAnsi="Arial"/>
                <w:color w:val="5B6472"/>
                <w:sz w:val="17"/>
                <w:szCs w:val="17"/>
              </w:rPr>
              <w:t xml:space="preserve">7202 30 00 — Ферросиликомарганец</w:t>
            </w:r>
          </w:p>
          <w:p>
            <w:pPr>
              <w:spacing w:after="60"/>
            </w:pPr>
            <w:r>
              <w:rPr>
                <w:rFonts w:ascii="Arial" w:cs="Arial" w:eastAsia="Arial" w:hAnsi="Arial"/>
                <w:b/>
                <w:bCs/>
                <w:sz w:val="19"/>
                <w:szCs w:val="19"/>
              </w:rPr>
              <w:t xml:space="preserve">7202 30 000 0 — Ферросиликомарганец</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hu_n_fd3g6vtp5yju7i1v">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ohwve8cw5eycufmfhogcl">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6au7nmejsvbunp-up1ck9">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9zyhmj8jngttxfzrynrlf">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202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vxtqc5ukvafynh90bykoc">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whjsix58qqxprskzyq1nr">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202 (72): ACURA, ASTON MARTIN, AUDI, BENTLEY, BMW, BUGATTI, CADILLAC, CHEVROLET, CHRYSLER, DAF TRUCKS, DAIMLER, DODGE, FERRARI, FREIGHTLINER, GENERAL MOTORS (GM), GMC, HONDA, HUMMER, HYUNDAI, INFINITE JAGUAR, JEEP, KENWORTH, KIA, LAMBORGHINI, LAND ROVER, LEXUS,…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ym-0fvy98k_jpqe-qxpgc">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ad8t-59y1zxo4izj3ovay">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Антидемпинговая пошлина: Ферросиликомарганец</w:t>
            </w:r>
          </w:p>
          <w:p>
            <w:pPr>
              <w:spacing w:after="60"/>
            </w:pPr>
            <w:r>
              <w:rPr>
                <w:rFonts w:ascii="Arial" w:cs="Arial" w:eastAsia="Arial" w:hAnsi="Arial"/>
                <w:sz w:val="19"/>
                <w:szCs w:val="19"/>
              </w:rPr>
              <w:t xml:space="preserve">Страны: Украина; действует до 05.12.2027.</w:t>
            </w:r>
          </w:p>
          <w:p>
            <w:pPr>
              <w:spacing w:after="60"/>
            </w:pPr>
            <w:r>
              <w:rPr>
                <w:rFonts w:ascii="Arial" w:cs="Arial" w:eastAsia="Arial" w:hAnsi="Arial"/>
                <w:color w:val="5B6472"/>
                <w:sz w:val="17"/>
                <w:szCs w:val="17"/>
              </w:rPr>
              <w:t xml:space="preserve">Антидемпинговая пошлина в размере 26,35 % от таможенной стоимости</w:t>
            </w:r>
          </w:p>
          <w:p>
            <w:pPr>
              <w:spacing w:after="60"/>
            </w:pPr>
            <w:r>
              <w:rPr>
                <w:rFonts w:ascii="Arial" w:cs="Arial" w:eastAsia="Arial" w:hAnsi="Arial"/>
                <w:color w:val="5B6472"/>
                <w:sz w:val="17"/>
                <w:szCs w:val="17"/>
              </w:rPr>
              <w:t xml:space="preserve">​ ​​</w:t>
            </w:r>
            <w:hyperlink w:history="1" r:id="rIdghjarsb_j30hwnrpgq40_">
              <w:r>
                <w:rPr>
                  <w:rFonts w:ascii="Arial" w:cs="Arial" w:eastAsia="Arial" w:hAnsi="Arial"/>
                  <w:color w:val="1F5FBF"/>
                  <w:sz w:val="17"/>
                  <w:szCs w:val="17"/>
                  <w:u w:val="single"/>
                </w:rPr>
                <w:t xml:space="preserve">Решение Коллегии ЕЭК от 2 июня 2016 г. № 58</w:t>
              </w:r>
            </w:hyperlink>
            <w:r>
              <w:rPr>
                <w:rFonts w:ascii="Arial" w:cs="Arial" w:eastAsia="Arial" w:hAnsi="Arial"/>
                <w:color w:val="5B6472"/>
                <w:sz w:val="17"/>
                <w:szCs w:val="17"/>
              </w:rPr>
              <w:t xml:space="preserve">​​ - о применении меры ​ ​​Решение Евразийского межправительственного совета от 27 октября 2016 г. № 9​ - о вступлении в силу </w:t>
            </w:r>
            <w:hyperlink w:history="1" r:id="rIdbvwxsgnsom99dhgkicvu4">
              <w:r>
                <w:rPr>
                  <w:rFonts w:ascii="Arial" w:cs="Arial" w:eastAsia="Arial" w:hAnsi="Arial"/>
                  <w:color w:val="1F5FBF"/>
                  <w:sz w:val="17"/>
                  <w:szCs w:val="17"/>
                  <w:u w:val="single"/>
                </w:rPr>
                <w:t xml:space="preserve">Решения Коллегии ЕЭК от 2 июня 2016 г. № 58</w:t>
              </w:r>
            </w:hyperlink>
            <w:r>
              <w:rPr>
                <w:rFonts w:ascii="Arial" w:cs="Arial" w:eastAsia="Arial" w:hAnsi="Arial"/>
                <w:color w:val="5B6472"/>
                <w:sz w:val="17"/>
                <w:szCs w:val="17"/>
              </w:rPr>
              <w:t xml:space="preserve"> ​ ​​</w:t>
            </w:r>
            <w:hyperlink w:history="1" r:id="rIdibp8gkuvcuinu5tbghw2x">
              <w:r>
                <w:rPr>
                  <w:rFonts w:ascii="Arial" w:cs="Arial" w:eastAsia="Arial" w:hAnsi="Arial"/>
                  <w:color w:val="1F5FBF"/>
                  <w:sz w:val="17"/>
                  <w:szCs w:val="17"/>
                  <w:u w:val="single"/>
                </w:rPr>
                <w:t xml:space="preserve">Решение Коллегии ЕЭК от 24 августа 2021 г. № 108</w:t>
              </w:r>
            </w:hyperlink>
            <w:r>
              <w:rPr>
                <w:rFonts w:ascii="Arial" w:cs="Arial" w:eastAsia="Arial" w:hAnsi="Arial"/>
                <w:color w:val="5B6472"/>
                <w:sz w:val="17"/>
                <w:szCs w:val="17"/>
              </w:rPr>
              <w:t xml:space="preserve">​​ - о продлении меры на период расследования ​ ​​</w:t>
            </w:r>
            <w:hyperlink w:history="1" r:id="rIdvrlc6jqulzrvubke2sbm5">
              <w:r>
                <w:rPr>
                  <w:rFonts w:ascii="Arial" w:cs="Arial" w:eastAsia="Arial" w:hAnsi="Arial"/>
                  <w:color w:val="1F5FBF"/>
                  <w:sz w:val="17"/>
                  <w:szCs w:val="17"/>
                  <w:u w:val="single"/>
                </w:rPr>
                <w:t xml:space="preserve">Решение Коллегии ЕЭК от 23 мая 2022 г. № 86</w:t>
              </w:r>
            </w:hyperlink>
            <w:r>
              <w:rPr>
                <w:rFonts w:ascii="Arial" w:cs="Arial" w:eastAsia="Arial" w:hAnsi="Arial"/>
                <w:color w:val="5B6472"/>
                <w:sz w:val="17"/>
                <w:szCs w:val="17"/>
              </w:rPr>
              <w:t xml:space="preserve">​​ - о продлении меры на период расследования ​​​</w:t>
            </w:r>
            <w:hyperlink w:history="1" r:id="rIdoghpe8xnae7cdrmw9dqbu">
              <w:r>
                <w:rPr>
                  <w:rFonts w:ascii="Arial" w:cs="Arial" w:eastAsia="Arial" w:hAnsi="Arial"/>
                  <w:color w:val="1F5FBF"/>
                  <w:sz w:val="17"/>
                  <w:szCs w:val="17"/>
                  <w:u w:val="single"/>
                </w:rPr>
                <w:t xml:space="preserve">Решение Коллегии ЕЭК от 6 декабря 2022 г. № 193</w:t>
              </w:r>
            </w:hyperlink>
            <w:r>
              <w:rPr>
                <w:rFonts w:ascii="Arial" w:cs="Arial" w:eastAsia="Arial" w:hAnsi="Arial"/>
                <w:color w:val="5B6472"/>
                <w:sz w:val="17"/>
                <w:szCs w:val="17"/>
              </w:rPr>
              <w:t xml:space="preserve">​​​ - о продлении меры до 5 декабря 2027…</w:t>
            </w:r>
          </w:p>
          <w:p>
            <w:pPr>
              <w:spacing w:after="60"/>
            </w:pPr>
            <w:r>
              <w:rPr>
                <w:rFonts w:ascii="Arial" w:cs="Arial" w:eastAsia="Arial" w:hAnsi="Arial"/>
                <w:b/>
                <w:bCs/>
                <w:sz w:val="19"/>
                <w:szCs w:val="19"/>
              </w:rPr>
              <w:t xml:space="preserve">Антидемпинговая пошлина: Ферросиликомарганец</w:t>
            </w:r>
          </w:p>
          <w:p>
            <w:pPr>
              <w:spacing w:after="60"/>
            </w:pPr>
            <w:r>
              <w:rPr>
                <w:rFonts w:ascii="Arial" w:cs="Arial" w:eastAsia="Arial" w:hAnsi="Arial"/>
                <w:sz w:val="19"/>
                <w:szCs w:val="19"/>
              </w:rPr>
              <w:t xml:space="preserve">Страны: Грузия; действует до 21.01.2028.</w:t>
            </w:r>
          </w:p>
          <w:p>
            <w:pPr>
              <w:spacing w:after="60"/>
            </w:pPr>
            <w:r>
              <w:rPr>
                <w:rFonts w:ascii="Arial" w:cs="Arial" w:eastAsia="Arial" w:hAnsi="Arial"/>
                <w:color w:val="5B6472"/>
                <w:sz w:val="17"/>
                <w:szCs w:val="17"/>
              </w:rPr>
              <w:t xml:space="preserve">Антидемпинговая пошлина в процентах от таможенной стоимости: - для ООО «Джорджиан Манганези» — 21,40 %; - для ООО «Чиатурманганум Джорджия» — 24,22 %; - для прочих производителей — 24,22 %.</w:t>
            </w:r>
          </w:p>
          <w:p>
            <w:pPr>
              <w:spacing w:after="60"/>
            </w:pPr>
            <w:r>
              <w:rPr>
                <w:rFonts w:ascii="Arial" w:cs="Arial" w:eastAsia="Arial" w:hAnsi="Arial"/>
                <w:color w:val="5B6472"/>
                <w:sz w:val="17"/>
                <w:szCs w:val="17"/>
              </w:rPr>
              <w:t xml:space="preserve">​</w:t>
            </w:r>
            <w:hyperlink w:history="1" r:id="rIddgdzfqdfpdckhefh7t0ey">
              <w:r>
                <w:rPr>
                  <w:rFonts w:ascii="Arial" w:cs="Arial" w:eastAsia="Arial" w:hAnsi="Arial"/>
                  <w:color w:val="1F5FBF"/>
                  <w:sz w:val="17"/>
                  <w:szCs w:val="17"/>
                  <w:u w:val="single"/>
                </w:rPr>
                <w:t xml:space="preserve">Решение Коллегии ЕЭК от 20 декабря 2022 г. № 201</w:t>
              </w:r>
            </w:hyperlink>
            <w:r>
              <w:rPr>
                <w:rFonts w:ascii="Arial" w:cs="Arial" w:eastAsia="Arial" w:hAnsi="Arial"/>
                <w:color w:val="5B6472"/>
                <w:sz w:val="17"/>
                <w:szCs w:val="17"/>
              </w:rPr>
              <w:t xml:space="preserve">​ - о применении меры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ml1ew5wimtqeipg3kcnzs">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ayq2zha4h6xcst3wlxgnk">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oesei24--igqgi4ll_wj8">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w:t>
            </w:r>
            <w:hyperlink w:history="1" r:id="rId_wqa9ibzqrivut0cpzcji">
              <w:r>
                <w:rPr>
                  <w:rFonts w:ascii="Arial" w:cs="Arial" w:eastAsia="Arial" w:hAnsi="Arial"/>
                  <w:color w:val="1F5FBF"/>
                  <w:sz w:val="19"/>
                  <w:szCs w:val="19"/>
                  <w:u w:val="single"/>
                </w:rPr>
                <w:t xml:space="preserve">решение Совета ЕЭК от 30.11.2016 № 157</w:t>
              </w:r>
            </w:hyperlink>
            <w:r>
              <w:rPr>
                <w:rFonts w:ascii="Arial" w:cs="Arial" w:eastAsia="Arial" w:hAnsi="Arial"/>
                <w:sz w:val="19"/>
                <w:szCs w:val="19"/>
              </w:rPr>
              <w:t xml:space="preserve">).</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etbe2zoh_csui2fxyskai">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 графе 31 (ферросплавы): фактическое содержание основного (ведущего) элемента в ферросплаве (мас. %)</w:t>
            </w:r>
          </w:p>
          <w:p>
            <w:pPr>
              <w:spacing w:after="60"/>
            </w:pPr>
            <w:hyperlink w:history="1" r:id="rIdgh7edmxa_8sxtvxhykw3h">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перечень сведений к графе 31</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7202300000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2050 — Антидемпинговая пошлина, установленная в соответствии с Протоколом о применении специальных защитных, антидемпинговых и компенсационных мер по отношению к третьим странам (приложение N 8 к Договору о Евразийском экономическом союзе от 29 мая 2014 года) · если товар из страны и от производителя, на которые установлена мера</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kctit0qooeurpjvqg1fke">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zbmnhvxbnuwejdfzsedgc">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orxuoqmwt1gwcpd2crktf">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pfta419168je8qsvtr2dr">
              <w:r>
                <w:rPr>
                  <w:rFonts w:ascii="Arial" w:cs="Arial" w:eastAsia="Arial" w:hAnsi="Arial"/>
                  <w:color w:val="1F5FBF"/>
                  <w:sz w:val="19"/>
                  <w:szCs w:val="19"/>
                  <w:u w:val="single"/>
                </w:rPr>
                <w:t xml:space="preserve">Решение Коллегии ЕЭК № 58 от 02.06.2016</w:t>
              </w:r>
            </w:hyperlink>
            <w:r>
              <w:rPr>
                <w:rFonts w:ascii="Arial" w:cs="Arial" w:eastAsia="Arial" w:hAnsi="Arial"/>
                <w:sz w:val="19"/>
                <w:szCs w:val="19"/>
              </w:rPr>
              <w:t xml:space="preserve"> — О применении антидемпинговой меры посредством введения антидемпинговой пошлины в отношении ферросиликомарганца, происходящего из Украины и ввозимого на таможенную территорию Евразийского… (вступило в силу 28.10.2016)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https://imexp.ru/katalog/kod/7202300000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u_n_fd3g6vtp5yju7i1v" Type="http://schemas.openxmlformats.org/officeDocument/2006/relationships/hyperlink" Target="https://imexp.ru/akty/reshenie-soveta-eek-80-2021" TargetMode="External"/><Relationship Id="rIdohwve8cw5eycufmfhogcl" Type="http://schemas.openxmlformats.org/officeDocument/2006/relationships/hyperlink" Target="https://imexp.ru/akty/reshenie-soveta-eek-80-2021" TargetMode="External"/><Relationship Id="rId6au7nmejsvbunp-up1ck9" Type="http://schemas.openxmlformats.org/officeDocument/2006/relationships/hyperlink" Target="https://imexp.ru/akty/reshenie-kollegii-eek-154-2019" TargetMode="External"/><Relationship Id="rId9zyhmj8jngttxfzrynrlf" Type="http://schemas.openxmlformats.org/officeDocument/2006/relationships/hyperlink" Target="https://imexp.ru/akty/prikaz-minpromtorga-2701-2023" TargetMode="External"/><Relationship Id="rIdvxtqc5ukvafynh90bykoc" Type="http://schemas.openxmlformats.org/officeDocument/2006/relationships/hyperlink" Target="https://www.ecfr.gov/current/title-15/subtitle-B/chapter-VII/subchapter-C/part-746" TargetMode="External"/><Relationship Id="rIdwhjsix58qqxprskzyq1nr" Type="http://schemas.openxmlformats.org/officeDocument/2006/relationships/hyperlink" Target="https://imexp.ru/akty/prikaz-minpromtorga-2701-2023" TargetMode="External"/><Relationship Id="rIdym-0fvy98k_jpqe-qxpgc" Type="http://schemas.openxmlformats.org/officeDocument/2006/relationships/hyperlink" Target="https://imexp.ru/akty/reshenie-soveta-eek-80-2021" TargetMode="External"/><Relationship Id="rIdad8t-59y1zxo4izj3ovay" Type="http://schemas.openxmlformats.org/officeDocument/2006/relationships/hyperlink" Target="https://imexp.ru/akty/reshenie-soveta-eek-8-2017" TargetMode="External"/><Relationship Id="rIdghjarsb_j30hwnrpgq40_" Type="http://schemas.openxmlformats.org/officeDocument/2006/relationships/hyperlink" Target="https://imexp.ru/akty/reshenie-kollegii-eek-58-2016" TargetMode="External"/><Relationship Id="rIdbvwxsgnsom99dhgkicvu4" Type="http://schemas.openxmlformats.org/officeDocument/2006/relationships/hyperlink" Target="https://imexp.ru/akty/reshenie-kollegii-eek-58-2016" TargetMode="External"/><Relationship Id="rIdibp8gkuvcuinu5tbghw2x" Type="http://schemas.openxmlformats.org/officeDocument/2006/relationships/hyperlink" Target="https://imexp.ru/akty/reshenie-kollegii-eek-108-2021" TargetMode="External"/><Relationship Id="rIdvrlc6jqulzrvubke2sbm5" Type="http://schemas.openxmlformats.org/officeDocument/2006/relationships/hyperlink" Target="https://imexp.ru/akty/reshenie-kollegii-eek-86-2022" TargetMode="External"/><Relationship Id="rIdoghpe8xnae7cdrmw9dqbu" Type="http://schemas.openxmlformats.org/officeDocument/2006/relationships/hyperlink" Target="https://imexp.ru/akty/reshenie-kollegii-eek-193-2022" TargetMode="External"/><Relationship Id="rIddgdzfqdfpdckhefh7t0ey" Type="http://schemas.openxmlformats.org/officeDocument/2006/relationships/hyperlink" Target="https://imexp.ru/akty/reshenie-kollegii-eek-201-2022" TargetMode="External"/><Relationship Id="rIdml1ew5wimtqeipg3kcnzs" Type="http://schemas.openxmlformats.org/officeDocument/2006/relationships/hyperlink" Target="https://imexp.ru/akty/postanovlenie-1637-2024" TargetMode="External"/><Relationship Id="rIdayq2zha4h6xcst3wlxgnk" Type="http://schemas.openxmlformats.org/officeDocument/2006/relationships/hyperlink" Target="https://imexp.ru/akty/rasporyazhenie-792-r-2018" TargetMode="External"/><Relationship Id="rIdoesei24--igqgi4ll_wj8" Type="http://schemas.openxmlformats.org/officeDocument/2006/relationships/hyperlink" Target="https://imexp.ru/akty/reshenie-kollegii-eek-154-2019" TargetMode="External"/><Relationship Id="rId_wqa9ibzqrivut0cpzcji" Type="http://schemas.openxmlformats.org/officeDocument/2006/relationships/hyperlink" Target="https://imexp.ru/akty/reshenie-soveta-eek-157-2016" TargetMode="External"/><Relationship Id="rIdetbe2zoh_csui2fxyskai" Type="http://schemas.openxmlformats.org/officeDocument/2006/relationships/hyperlink" Target="https://imexp.ru/akty/postanovlenie-1284-2022" TargetMode="External"/><Relationship Id="rIdgh7edmxa_8sxtvxhykw3h" Type="http://schemas.openxmlformats.org/officeDocument/2006/relationships/hyperlink" Target="https://imexp.ru/akty/reshenie-kts-257-2010" TargetMode="External"/><Relationship Id="rIdkctit0qooeurpjvqg1fke" Type="http://schemas.openxmlformats.org/officeDocument/2006/relationships/hyperlink" Target="https://imexp.ru/akty/reshenie-kts-257-2010" TargetMode="External"/><Relationship Id="rIdzbmnhvxbnuwejdfzsedgc" Type="http://schemas.openxmlformats.org/officeDocument/2006/relationships/hyperlink" Target="https://imexp.ru/akty/reshenie-kts-378-2010" TargetMode="External"/><Relationship Id="rIdorxuoqmwt1gwcpd2crktf" Type="http://schemas.openxmlformats.org/officeDocument/2006/relationships/hyperlink" Target="https://docs.eaeunion.org/documents/463/10896/" TargetMode="External"/><Relationship Id="rIdpfta419168je8qsvtr2dr" Type="http://schemas.openxmlformats.org/officeDocument/2006/relationships/hyperlink" Target="https://docs.eaeunion.org/documents/305/2305/" TargetMode="External"/><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7202 30 000 0</dc:title>
  <dc:creator>IMEXP</dc:creator>
  <cp:lastModifiedBy>Un-named</cp:lastModifiedBy>
  <cp:revision>1</cp:revision>
  <dcterms:created xsi:type="dcterms:W3CDTF">2026-11-05T13:56:33.639Z</dcterms:created>
  <dcterms:modified xsi:type="dcterms:W3CDTF">2026-11-05T13:56:33.639Z</dcterms:modified>
</cp:coreProperties>
</file>

<file path=docProps/custom.xml><?xml version="1.0" encoding="utf-8"?>
<Properties xmlns="http://schemas.openxmlformats.org/officeDocument/2006/custom-properties" xmlns:vt="http://schemas.openxmlformats.org/officeDocument/2006/docPropsVTypes"/>
</file>