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80"/>
      </w:pPr>
      <w:r>
        <w:rPr>
          <w:rFonts w:ascii="Arial" w:cs="Arial" w:eastAsia="Arial" w:hAnsi="Arial"/>
          <w:b/>
          <w:bCs/>
          <w:sz w:val="30"/>
          <w:szCs w:val="30"/>
        </w:rPr>
        <w:t xml:space="preserve">Справка о товаре: ввоз в Россию</w:t>
      </w:r>
    </w:p>
    <w:p>
      <w:pPr>
        <w:spacing w:after="80"/>
      </w:pPr>
      <w:r>
        <w:rPr>
          <w:rFonts w:ascii="Arial" w:cs="Arial" w:eastAsia="Arial" w:hAnsi="Arial"/>
          <w:b/>
          <w:bCs/>
          <w:sz w:val="24"/>
          <w:szCs w:val="24"/>
        </w:rPr>
        <w:t xml:space="preserve">Код ТН ВЭД ЕАЭС 7213 99 900 0</w:t>
      </w:r>
    </w:p>
    <w:p>
      <w:pPr>
        <w:spacing w:after="200"/>
      </w:pPr>
      <w:r>
        <w:rPr>
          <w:rFonts w:ascii="Arial" w:cs="Arial" w:eastAsia="Arial" w:hAnsi="Arial"/>
          <w:color w:val="5B6472"/>
          <w:sz w:val="19"/>
          <w:szCs w:val="19"/>
        </w:rPr>
        <w:t xml:space="preserve">Сведения на 31.10.2026</w:t>
      </w:r>
    </w:p>
    <w:tbl>
      <w:tblPr>
        <w:tblW w:type="dxa" w:w="10204"/>
        <w:tblBorders>
          <w:top w:val="single" w:color="C9CFD8" w:sz="4"/>
          <w:left w:val="single" w:color="C9CFD8" w:sz="4"/>
          <w:bottom w:val="single" w:color="C9CFD8" w:sz="4"/>
          <w:right w:val="single" w:color="C9CFD8" w:sz="4"/>
          <w:insideH w:val="single" w:color="C9CFD8" w:sz="4"/>
          <w:insideV w:val="single" w:color="C9CFD8" w:sz="4"/>
        </w:tblBorders>
      </w:tblPr>
      <w:tblGrid>
        <w:gridCol w:w="2600"/>
        <w:gridCol w:w="7604"/>
      </w:tblGrid>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Наименование</w:t>
            </w:r>
          </w:p>
        </w:tc>
        <w:tc>
          <w:tcPr>
            <w:tcW w:type="dxa" w:w="7604"/>
            <w:tcMar>
              <w:top w:type="dxa" w:w="80"/>
              <w:left w:type="dxa" w:w="120"/>
              <w:bottom w:type="dxa" w:w="80"/>
              <w:right w:type="dxa" w:w="120"/>
            </w:tcMar>
          </w:tcPr>
          <w:p>
            <w:pPr>
              <w:spacing w:after="60"/>
            </w:pPr>
            <w:r>
              <w:rPr>
                <w:rFonts w:ascii="Arial" w:cs="Arial" w:eastAsia="Arial" w:hAnsi="Arial"/>
                <w:color w:val="5B6472"/>
                <w:sz w:val="17"/>
                <w:szCs w:val="17"/>
              </w:rPr>
              <w:t xml:space="preserve">Раздел XV. Недрагоценные металлы и изделия из них</w:t>
            </w:r>
          </w:p>
          <w:p>
            <w:pPr>
              <w:spacing w:after="60"/>
            </w:pPr>
            <w:r>
              <w:rPr>
                <w:rFonts w:ascii="Arial" w:cs="Arial" w:eastAsia="Arial" w:hAnsi="Arial"/>
                <w:color w:val="5B6472"/>
                <w:sz w:val="17"/>
                <w:szCs w:val="17"/>
              </w:rPr>
              <w:t xml:space="preserve">72 — ЧЕРНЫЕ МЕТАЛЛЫ</w:t>
            </w:r>
          </w:p>
          <w:p>
            <w:pPr>
              <w:spacing w:after="60"/>
            </w:pPr>
            <w:r>
              <w:rPr>
                <w:rFonts w:ascii="Arial" w:cs="Arial" w:eastAsia="Arial" w:hAnsi="Arial"/>
                <w:color w:val="5B6472"/>
                <w:sz w:val="17"/>
                <w:szCs w:val="17"/>
              </w:rPr>
              <w:t xml:space="preserve">7213 — Прутки горячекатаные в свободно смотанных бухтах из железа или нелегированной стали</w:t>
            </w:r>
          </w:p>
          <w:p>
            <w:pPr>
              <w:spacing w:after="60"/>
            </w:pPr>
            <w:r>
              <w:rPr>
                <w:rFonts w:ascii="Arial" w:cs="Arial" w:eastAsia="Arial" w:hAnsi="Arial"/>
                <w:color w:val="5B6472"/>
                <w:sz w:val="17"/>
                <w:szCs w:val="17"/>
              </w:rPr>
              <w:t xml:space="preserve">7213 99 — Прочие: прочие</w:t>
            </w:r>
          </w:p>
          <w:p>
            <w:pPr>
              <w:spacing w:after="60"/>
            </w:pPr>
            <w:r>
              <w:rPr>
                <w:rFonts w:ascii="Arial" w:cs="Arial" w:eastAsia="Arial" w:hAnsi="Arial"/>
                <w:color w:val="5B6472"/>
                <w:sz w:val="17"/>
                <w:szCs w:val="17"/>
              </w:rPr>
              <w:t xml:space="preserve">7213 99 90 — Прочие: прочие: содержащие 0,25 мас.% или более углерода</w:t>
            </w:r>
          </w:p>
          <w:p>
            <w:pPr>
              <w:spacing w:after="60"/>
            </w:pPr>
            <w:r>
              <w:rPr>
                <w:rFonts w:ascii="Arial" w:cs="Arial" w:eastAsia="Arial" w:hAnsi="Arial"/>
                <w:b/>
                <w:bCs/>
                <w:sz w:val="19"/>
                <w:szCs w:val="19"/>
              </w:rPr>
              <w:t xml:space="preserve">7213 99 900 0 — Прочие: прочие: содержащие 0,25 мас.% или более углерода</w:t>
            </w:r>
          </w:p>
          <w:p>
            <w:pPr>
              <w:spacing w:after="60"/>
            </w:pPr>
            <w:r>
              <w:rPr>
                <w:rFonts w:ascii="Arial" w:cs="Arial" w:eastAsia="Arial" w:hAnsi="Arial"/>
                <w:color w:val="5B6472"/>
                <w:sz w:val="17"/>
                <w:szCs w:val="17"/>
              </w:rPr>
              <w:t xml:space="preserve">Основание: Единая товарная номенклатура ВЭД ЕАЭС, </w:t>
            </w:r>
            <w:hyperlink w:history="1" r:id="rIdzovjoqnd8-jpj0x0v2qfk">
              <w:r>
                <w:rPr>
                  <w:rFonts w:ascii="Arial" w:cs="Arial" w:eastAsia="Arial" w:hAnsi="Arial"/>
                  <w:color w:val="1F5FBF"/>
                  <w:sz w:val="17"/>
                  <w:szCs w:val="17"/>
                  <w:u w:val="single"/>
                </w:rPr>
                <w:t xml:space="preserve">Решение Совета ЕЭК от 14.09.2021 № 80</w:t>
              </w:r>
            </w:hyperlink>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Дополнительная единица измерения</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Не применяется</w:t>
            </w:r>
          </w:p>
          <w:p>
            <w:pPr>
              <w:spacing w:after="60"/>
            </w:pPr>
            <w:r>
              <w:rPr>
                <w:rFonts w:ascii="Arial" w:cs="Arial" w:eastAsia="Arial" w:hAnsi="Arial"/>
                <w:color w:val="5B6472"/>
                <w:sz w:val="17"/>
                <w:szCs w:val="17"/>
              </w:rPr>
              <w:t xml:space="preserve">Основание: Единая товарная номенклатура ВЭД ЕАЭС, </w:t>
            </w:r>
            <w:hyperlink w:history="1" r:id="rIdpupqoi6u3wo_s-jxyz7er">
              <w:r>
                <w:rPr>
                  <w:rFonts w:ascii="Arial" w:cs="Arial" w:eastAsia="Arial" w:hAnsi="Arial"/>
                  <w:color w:val="1F5FBF"/>
                  <w:sz w:val="17"/>
                  <w:szCs w:val="17"/>
                  <w:u w:val="single"/>
                </w:rPr>
                <w:t xml:space="preserve">Решение Совета ЕЭК от 14.09.2021 № 80</w:t>
              </w:r>
            </w:hyperlink>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Какие документы нужны при ввозе</w:t>
            </w:r>
          </w:p>
        </w:tc>
        <w:tc>
          <w:tcPr>
            <w:tcW w:type="dxa" w:w="7604"/>
            <w:tcMar>
              <w:top w:type="dxa" w:w="80"/>
              <w:left w:type="dxa" w:w="120"/>
              <w:bottom w:type="dxa" w:w="80"/>
              <w:right w:type="dxa" w:w="120"/>
            </w:tcMar>
          </w:tcPr>
          <w:p>
            <w:pPr>
              <w:spacing w:after="60"/>
              <w:ind w:left="220" w:hanging="160"/>
            </w:pPr>
            <w:r>
              <w:rPr>
                <w:rFonts w:ascii="Arial" w:cs="Arial" w:eastAsia="Arial" w:hAnsi="Arial"/>
                <w:sz w:val="19"/>
                <w:szCs w:val="19"/>
              </w:rPr>
              <w:t xml:space="preserve">• Санитарно-эпидемиологический надзор — </w:t>
            </w:r>
            <w:hyperlink w:history="1" r:id="rIdy4blvhkverjay8gl8rdgl">
              <w:r>
                <w:rPr>
                  <w:rFonts w:ascii="Arial" w:cs="Arial" w:eastAsia="Arial" w:hAnsi="Arial"/>
                  <w:color w:val="1F5FBF"/>
                  <w:sz w:val="19"/>
                  <w:szCs w:val="19"/>
                  <w:u w:val="single"/>
                </w:rPr>
                <w:t xml:space="preserve">Решение Коллегии Евразийской экономической комиссии от 17.09.2019 № 154</w:t>
              </w:r>
            </w:hyperlink>
            <w:r>
              <w:rPr>
                <w:rFonts w:ascii="Arial" w:cs="Arial" w:eastAsia="Arial" w:hAnsi="Arial"/>
                <w:sz w:val="19"/>
                <w:szCs w:val="19"/>
              </w:rPr>
              <w:t xml:space="preserve"> (касается части товаров кода)</w:t>
            </w:r>
          </w:p>
          <w:p>
            <w:pPr>
              <w:spacing w:after="60"/>
              <w:ind w:left="220" w:hanging="160"/>
            </w:pPr>
            <w:r>
              <w:rPr>
                <w:rFonts w:ascii="Arial" w:cs="Arial" w:eastAsia="Arial" w:hAnsi="Arial"/>
                <w:sz w:val="19"/>
                <w:szCs w:val="19"/>
              </w:rPr>
              <w:t xml:space="preserve">• Ввоз без согласия правообладателя (параллельный импорт) — </w:t>
            </w:r>
            <w:hyperlink w:history="1" r:id="rId_jul7nw6nowx05p52q58r">
              <w:r>
                <w:rPr>
                  <w:rFonts w:ascii="Arial" w:cs="Arial" w:eastAsia="Arial" w:hAnsi="Arial"/>
                  <w:color w:val="1F5FBF"/>
                  <w:sz w:val="19"/>
                  <w:szCs w:val="19"/>
                  <w:u w:val="single"/>
                </w:rPr>
                <w:t xml:space="preserve">Приказ Минпромторга России № 2701</w:t>
              </w:r>
            </w:hyperlink>
            <w:r>
              <w:rPr>
                <w:rFonts w:ascii="Arial" w:cs="Arial" w:eastAsia="Arial" w:hAnsi="Arial"/>
                <w:sz w:val="19"/>
                <w:szCs w:val="19"/>
              </w:rPr>
              <w:t xml:space="preserve">, пункт 202 (только для товарных знаков из перечня)</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Запреты других стран</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Страна продавца запрещает вывоз такого товара в Россию: касается товара, который покупают в этой стране или у её компаний.</w:t>
            </w:r>
          </w:p>
          <w:p>
            <w:pPr>
              <w:spacing w:after="60"/>
              <w:ind w:left="220" w:hanging="160"/>
            </w:pPr>
            <w:r>
              <w:rPr>
                <w:rFonts w:ascii="Arial" w:cs="Arial" w:eastAsia="Arial" w:hAnsi="Arial"/>
                <w:sz w:val="19"/>
                <w:szCs w:val="19"/>
              </w:rPr>
              <w:t xml:space="preserve">• США: </w:t>
            </w:r>
            <w:hyperlink w:history="1" r:id="rIdrpw4pe--9sibl8qzmybr8">
              <w:r>
                <w:rPr>
                  <w:rFonts w:ascii="Arial" w:cs="Arial" w:eastAsia="Arial" w:hAnsi="Arial"/>
                  <w:color w:val="1F5FBF"/>
                  <w:sz w:val="19"/>
                  <w:szCs w:val="19"/>
                  <w:u w:val="single"/>
                </w:rPr>
                <w:t xml:space="preserve">Правила экспортного контроля США (EAR), часть 746</w:t>
              </w:r>
            </w:hyperlink>
            <w:r>
              <w:rPr>
                <w:rFonts w:ascii="Arial" w:cs="Arial" w:eastAsia="Arial" w:hAnsi="Arial"/>
                <w:sz w:val="19"/>
                <w:szCs w:val="19"/>
              </w:rPr>
              <w:t xml:space="preserve">, дополнение № 4 (промышленные товары)</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Параллельный импорт</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Код подпадает под перечень </w:t>
            </w:r>
            <w:hyperlink w:history="1" r:id="rIdw9nebqh5kqtcq4azf1lvt">
              <w:r>
                <w:rPr>
                  <w:rFonts w:ascii="Arial" w:cs="Arial" w:eastAsia="Arial" w:hAnsi="Arial"/>
                  <w:color w:val="1F5FBF"/>
                  <w:sz w:val="19"/>
                  <w:szCs w:val="19"/>
                  <w:u w:val="single"/>
                </w:rPr>
                <w:t xml:space="preserve">приказа Минпромторга России от 21.07.2023 № 2701</w:t>
              </w:r>
            </w:hyperlink>
            <w:r>
              <w:rPr>
                <w:rFonts w:ascii="Arial" w:cs="Arial" w:eastAsia="Arial" w:hAnsi="Arial"/>
                <w:sz w:val="19"/>
                <w:szCs w:val="19"/>
              </w:rPr>
              <w:t xml:space="preserve">: товар, введённый в оборот за рубежом правообладателем или с его согласия, можно ввозить без согласия правообладателя, но только под товарными знаками пункта.</w:t>
            </w:r>
          </w:p>
          <w:p>
            <w:pPr>
              <w:spacing w:after="60"/>
              <w:ind w:left="220" w:hanging="160"/>
            </w:pPr>
            <w:r>
              <w:rPr>
                <w:rFonts w:ascii="Arial" w:cs="Arial" w:eastAsia="Arial" w:hAnsi="Arial"/>
                <w:sz w:val="19"/>
                <w:szCs w:val="19"/>
              </w:rPr>
              <w:t xml:space="preserve">• Пункт 202 (72): ACURA, ASTON MARTIN, AUDI, BENTLEY, BMW, BUGATTI, CADILLAC, CHEVROLET, CHRYSLER, DAF TRUCKS, DAIMLER, DODGE, FERRARI, FREIGHTLINER, GENERAL MOTORS (GM), GMC, HONDA, HUMMER, HYUNDAI, INFINITE JAGUAR, JEEP, KENWORTH, KIA, LAMBORGHINI, LAND ROVER, LEXUS,…</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Ввозная пошлина</w:t>
            </w:r>
          </w:p>
        </w:tc>
        <w:tc>
          <w:tcPr>
            <w:tcW w:type="dxa" w:w="7604"/>
            <w:tcMar>
              <w:top w:type="dxa" w:w="80"/>
              <w:left w:type="dxa" w:w="120"/>
              <w:bottom w:type="dxa" w:w="80"/>
              <w:right w:type="dxa" w:w="120"/>
            </w:tcMar>
          </w:tcPr>
          <w:p>
            <w:pPr>
              <w:spacing w:after="60"/>
            </w:pPr>
            <w:r>
              <w:rPr>
                <w:rFonts w:ascii="Arial" w:cs="Arial" w:eastAsia="Arial" w:hAnsi="Arial"/>
                <w:b/>
                <w:bCs/>
                <w:sz w:val="19"/>
                <w:szCs w:val="19"/>
              </w:rPr>
              <w:t xml:space="preserve">5% — ставка Единого таможенного тарифа ЕАЭС</w:t>
            </w:r>
          </w:p>
          <w:p>
            <w:pPr>
              <w:spacing w:after="60"/>
            </w:pPr>
            <w:r>
              <w:rPr>
                <w:rFonts w:ascii="Arial" w:cs="Arial" w:eastAsia="Arial" w:hAnsi="Arial"/>
                <w:color w:val="5B6472"/>
                <w:sz w:val="17"/>
                <w:szCs w:val="17"/>
              </w:rPr>
              <w:t xml:space="preserve">ЕТТ ЕАЭС в редакции </w:t>
            </w:r>
            <w:hyperlink w:history="1" r:id="rId7wnuipymbt5zirefk0f1l">
              <w:r>
                <w:rPr>
                  <w:rFonts w:ascii="Arial" w:cs="Arial" w:eastAsia="Arial" w:hAnsi="Arial"/>
                  <w:color w:val="1F5FBF"/>
                  <w:sz w:val="17"/>
                  <w:szCs w:val="17"/>
                  <w:u w:val="single"/>
                </w:rPr>
                <w:t xml:space="preserve">Решение Совета ЕЭК № 80 от 14.09.2021</w:t>
              </w:r>
            </w:hyperlink>
            <w:r>
              <w:rPr>
                <w:rFonts w:ascii="Arial" w:cs="Arial" w:eastAsia="Arial" w:hAnsi="Arial"/>
                <w:color w:val="5B6472"/>
                <w:sz w:val="17"/>
                <w:szCs w:val="17"/>
              </w:rPr>
              <w:t xml:space="preserve">, с 01.01.2022; более поздних решений о ставке по этому коду в нашем реестре нет</w:t>
            </w:r>
          </w:p>
          <w:p>
            <w:pPr>
              <w:spacing w:after="60"/>
              <w:ind w:left="220" w:hanging="160"/>
            </w:pPr>
            <w:r>
              <w:rPr>
                <w:rFonts w:ascii="Arial" w:cs="Arial" w:eastAsia="Arial" w:hAnsi="Arial"/>
                <w:sz w:val="19"/>
                <w:szCs w:val="19"/>
              </w:rPr>
              <w:t xml:space="preserve">• Товар из наименее развитых стран (46): преференция, ставка 0%.</w:t>
            </w:r>
          </w:p>
          <w:p>
            <w:pPr>
              <w:spacing w:after="60"/>
            </w:pPr>
            <w:r>
              <w:rPr>
                <w:rFonts w:ascii="Arial" w:cs="Arial" w:eastAsia="Arial" w:hAnsi="Arial"/>
                <w:color w:val="5B6472"/>
                <w:sz w:val="17"/>
                <w:szCs w:val="17"/>
              </w:rPr>
              <w:t xml:space="preserve">Условия преференции: документ о происхождении товара и прямая поставка. </w:t>
            </w:r>
            <w:hyperlink w:history="1" r:id="rId6so6--bbwrsq3cyspyxzq">
              <w:r>
                <w:rPr>
                  <w:rFonts w:ascii="Arial" w:cs="Arial" w:eastAsia="Arial" w:hAnsi="Arial"/>
                  <w:color w:val="1F5FBF"/>
                  <w:sz w:val="17"/>
                  <w:szCs w:val="17"/>
                  <w:u w:val="single"/>
                </w:rPr>
                <w:t xml:space="preserve">Решение Совета ЕЭК от 13.01.2017 № 8</w:t>
              </w:r>
            </w:hyperlink>
            <w:r>
              <w:rPr>
                <w:rFonts w:ascii="Arial" w:cs="Arial" w:eastAsia="Arial" w:hAnsi="Arial"/>
                <w:color w:val="5B6472"/>
                <w:sz w:val="17"/>
                <w:szCs w:val="17"/>
              </w:rPr>
              <w:t xml:space="preserve">.</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Особые виды пошлин</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Антидемпинговые, компенсационные и специальные пошлины по коду не применяются.</w:t>
            </w:r>
          </w:p>
          <w:p>
            <w:pPr>
              <w:spacing w:after="60"/>
            </w:pPr>
            <w:r>
              <w:rPr>
                <w:rFonts w:ascii="Arial" w:cs="Arial" w:eastAsia="Arial" w:hAnsi="Arial"/>
                <w:color w:val="5B6472"/>
                <w:sz w:val="17"/>
                <w:szCs w:val="17"/>
              </w:rPr>
              <w:t xml:space="preserve">Основание: Договор о Евразийском экономическом союзе от 29.05.2014, приложение № 8</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Акциз</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Подакцизных видов товаров по коду нет (статья 181 НК РФ).</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НДС при ввозе</w:t>
            </w:r>
          </w:p>
        </w:tc>
        <w:tc>
          <w:tcPr>
            <w:tcW w:type="dxa" w:w="7604"/>
            <w:tcMar>
              <w:top w:type="dxa" w:w="80"/>
              <w:left w:type="dxa" w:w="120"/>
              <w:bottom w:type="dxa" w:w="80"/>
              <w:right w:type="dxa" w:w="120"/>
            </w:tcMar>
          </w:tcPr>
          <w:p>
            <w:pPr>
              <w:spacing w:after="60"/>
            </w:pPr>
            <w:r>
              <w:rPr>
                <w:rFonts w:ascii="Arial" w:cs="Arial" w:eastAsia="Arial" w:hAnsi="Arial"/>
                <w:b/>
                <w:bCs/>
                <w:sz w:val="19"/>
                <w:szCs w:val="19"/>
              </w:rPr>
              <w:t xml:space="preserve">22% — основная ставка (статья 164 НК РФ).</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Таможенный сбор</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Зависит от таможенной стоимости товаров в декларации (2026):</w:t>
            </w:r>
          </w:p>
          <w:p>
            <w:pPr>
              <w:spacing w:after="60"/>
              <w:ind w:left="220" w:hanging="160"/>
            </w:pPr>
            <w:r>
              <w:rPr>
                <w:rFonts w:ascii="Arial" w:cs="Arial" w:eastAsia="Arial" w:hAnsi="Arial"/>
                <w:sz w:val="19"/>
                <w:szCs w:val="19"/>
              </w:rPr>
              <w:t xml:space="preserve">• от 0 до 200 000 ₽ — 1 231 ₽</w:t>
            </w:r>
          </w:p>
          <w:p>
            <w:pPr>
              <w:spacing w:after="60"/>
              <w:ind w:left="220" w:hanging="160"/>
            </w:pPr>
            <w:r>
              <w:rPr>
                <w:rFonts w:ascii="Arial" w:cs="Arial" w:eastAsia="Arial" w:hAnsi="Arial"/>
                <w:sz w:val="19"/>
                <w:szCs w:val="19"/>
              </w:rPr>
              <w:t xml:space="preserve">• от 200 000 до 450 000 ₽ — 2 462 ₽</w:t>
            </w:r>
          </w:p>
          <w:p>
            <w:pPr>
              <w:spacing w:after="60"/>
              <w:ind w:left="220" w:hanging="160"/>
            </w:pPr>
            <w:r>
              <w:rPr>
                <w:rFonts w:ascii="Arial" w:cs="Arial" w:eastAsia="Arial" w:hAnsi="Arial"/>
                <w:sz w:val="19"/>
                <w:szCs w:val="19"/>
              </w:rPr>
              <w:t xml:space="preserve">• от 450 000 до 1 200 000 ₽ — 4 924 ₽</w:t>
            </w:r>
          </w:p>
          <w:p>
            <w:pPr>
              <w:spacing w:after="60"/>
              <w:ind w:left="220" w:hanging="160"/>
            </w:pPr>
            <w:r>
              <w:rPr>
                <w:rFonts w:ascii="Arial" w:cs="Arial" w:eastAsia="Arial" w:hAnsi="Arial"/>
                <w:sz w:val="19"/>
                <w:szCs w:val="19"/>
              </w:rPr>
              <w:t xml:space="preserve">• от 1 200 000 до 2 700 000 ₽ — 13 541 ₽</w:t>
            </w:r>
          </w:p>
          <w:p>
            <w:pPr>
              <w:spacing w:after="60"/>
              <w:ind w:left="220" w:hanging="160"/>
            </w:pPr>
            <w:r>
              <w:rPr>
                <w:rFonts w:ascii="Arial" w:cs="Arial" w:eastAsia="Arial" w:hAnsi="Arial"/>
                <w:sz w:val="19"/>
                <w:szCs w:val="19"/>
              </w:rPr>
              <w:t xml:space="preserve">• от 2 700 000 до 4 200 000 ₽ — 18 465 ₽</w:t>
            </w:r>
          </w:p>
          <w:p>
            <w:pPr>
              <w:spacing w:after="60"/>
              <w:ind w:left="220" w:hanging="160"/>
            </w:pPr>
            <w:r>
              <w:rPr>
                <w:rFonts w:ascii="Arial" w:cs="Arial" w:eastAsia="Arial" w:hAnsi="Arial"/>
                <w:sz w:val="19"/>
                <w:szCs w:val="19"/>
              </w:rPr>
              <w:t xml:space="preserve">• от 4 200 000 до 5 500 000 ₽ — 21 344 ₽</w:t>
            </w:r>
          </w:p>
          <w:p>
            <w:pPr>
              <w:spacing w:after="60"/>
              <w:ind w:left="220" w:hanging="160"/>
            </w:pPr>
            <w:r>
              <w:rPr>
                <w:rFonts w:ascii="Arial" w:cs="Arial" w:eastAsia="Arial" w:hAnsi="Arial"/>
                <w:sz w:val="19"/>
                <w:szCs w:val="19"/>
              </w:rPr>
              <w:t xml:space="preserve">• от 5 500 000 до 10 000 000 ₽ — 49 240 ₽</w:t>
            </w:r>
          </w:p>
          <w:p>
            <w:pPr>
              <w:spacing w:after="60"/>
              <w:ind w:left="220" w:hanging="160"/>
            </w:pPr>
            <w:r>
              <w:rPr>
                <w:rFonts w:ascii="Arial" w:cs="Arial" w:eastAsia="Arial" w:hAnsi="Arial"/>
                <w:sz w:val="19"/>
                <w:szCs w:val="19"/>
              </w:rPr>
              <w:t xml:space="preserve">• свыше 10 000 000 ₽ — 73 860 ₽</w:t>
            </w:r>
          </w:p>
          <w:p>
            <w:pPr>
              <w:spacing w:after="60"/>
            </w:pPr>
            <w:hyperlink w:history="1" r:id="rIdcxpm7xo7uho8ex4v93miv">
              <w:r>
                <w:rPr>
                  <w:rFonts w:ascii="Arial" w:cs="Arial" w:eastAsia="Arial" w:hAnsi="Arial"/>
                  <w:color w:val="1F5FBF"/>
                  <w:sz w:val="17"/>
                  <w:szCs w:val="17"/>
                  <w:u w:val="single"/>
                </w:rPr>
                <w:t xml:space="preserve">Постановление Правительства РФ от 28.11.2024 № 1637</w:t>
              </w:r>
            </w:hyperlink>
            <w:r>
              <w:rPr>
                <w:rFonts w:ascii="Arial" w:cs="Arial" w:eastAsia="Arial" w:hAnsi="Arial"/>
                <w:color w:val="5B6472"/>
                <w:sz w:val="17"/>
                <w:szCs w:val="17"/>
              </w:rPr>
              <w:t xml:space="preserve"> в редакции от 23.10.2025 № 1638.</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Запреты и ограничения</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Запретов и разрешительного порядка на ввоз по коду в перечнях России и ЕАЭС нет.</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Обязательная маркировка</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Код не назван в перечне товаров с обязательной маркировкой (</w:t>
            </w:r>
            <w:hyperlink w:history="1" r:id="rIdwqqodlyt_g0yc5jagli5i">
              <w:r>
                <w:rPr>
                  <w:rFonts w:ascii="Arial" w:cs="Arial" w:eastAsia="Arial" w:hAnsi="Arial"/>
                  <w:color w:val="1F5FBF"/>
                  <w:sz w:val="19"/>
                  <w:szCs w:val="19"/>
                  <w:u w:val="single"/>
                </w:rPr>
                <w:t xml:space="preserve">распоряжение № 792-р</w:t>
              </w:r>
            </w:hyperlink>
            <w:r>
              <w:rPr>
                <w:rFonts w:ascii="Arial" w:cs="Arial" w:eastAsia="Arial" w:hAnsi="Arial"/>
                <w:sz w:val="19"/>
                <w:szCs w:val="19"/>
              </w:rPr>
              <w:t xml:space="preserve"> в редакции № 1765-р, № 249-р и № 956-р).</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Разрешительные документы</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Код не назван в перечнях техрегламентов ЕАЭС и в едином перечне России (постановление № 2425), которые мы сверяем.</w:t>
            </w:r>
          </w:p>
          <w:p>
            <w:pPr>
              <w:spacing w:after="60"/>
            </w:pPr>
            <w:r>
              <w:rPr>
                <w:rFonts w:ascii="Arial" w:cs="Arial" w:eastAsia="Arial" w:hAnsi="Arial"/>
                <w:color w:val="5B6472"/>
                <w:sz w:val="17"/>
                <w:szCs w:val="17"/>
              </w:rPr>
              <w:t xml:space="preserve">На практике по субпозиции 7213 99 действует сертификатов: 0, деклараций: 1; по </w:t>
            </w:r>
            <w:hyperlink w:history="1" r:id="rIda9mjndlssa4bvjchssqhx">
              <w:r>
                <w:rPr>
                  <w:rFonts w:ascii="Arial" w:cs="Arial" w:eastAsia="Arial" w:hAnsi="Arial"/>
                  <w:color w:val="1F5FBF"/>
                  <w:sz w:val="17"/>
                  <w:szCs w:val="17"/>
                  <w:u w:val="single"/>
                </w:rPr>
                <w:t xml:space="preserve">ТР ТС 032/2013</w:t>
              </w:r>
            </w:hyperlink>
            <w:r>
              <w:rPr>
                <w:rFonts w:ascii="Arial" w:cs="Arial" w:eastAsia="Arial" w:hAnsi="Arial"/>
                <w:color w:val="5B6472"/>
                <w:sz w:val="17"/>
                <w:szCs w:val="17"/>
              </w:rPr>
              <w:t xml:space="preserve">.</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Ветеринарный, фитосанитарный и санитарный контроль</w:t>
            </w:r>
          </w:p>
        </w:tc>
        <w:tc>
          <w:tcPr>
            <w:tcW w:type="dxa" w:w="7604"/>
            <w:tcMar>
              <w:top w:type="dxa" w:w="80"/>
              <w:left w:type="dxa" w:w="120"/>
              <w:bottom w:type="dxa" w:w="80"/>
              <w:right w:type="dxa" w:w="120"/>
            </w:tcMar>
          </w:tcPr>
          <w:p>
            <w:pPr>
              <w:spacing w:after="60"/>
              <w:ind w:left="220" w:hanging="160"/>
            </w:pPr>
            <w:r>
              <w:rPr>
                <w:rFonts w:ascii="Arial" w:cs="Arial" w:eastAsia="Arial" w:hAnsi="Arial"/>
                <w:sz w:val="19"/>
                <w:szCs w:val="19"/>
              </w:rPr>
              <w:t xml:space="preserve">• Санитарно-эпидемиологический надзор (контроль) (в перечне названа вся группа: касается товаров с этим наименованием): Продукция, изделия, являющиеся источником ионизирующего излучения, в том числе генерирующего, а также изделия и продукция (товары), содержащие радиоактивные вещества; Строительное сырье и материалы, в которых гигиеническими нормативами регламентируется содержание радиоактивных веществ, в том числе производственные отходы для повторной переработки и использования в народном хозяйстве, лом черных и…</w:t>
            </w:r>
          </w:p>
          <w:p>
            <w:pPr>
              <w:spacing w:after="60"/>
            </w:pPr>
            <w:hyperlink w:history="1" r:id="rIdem6ye9c5lj7xpltvuqnuu">
              <w:r>
                <w:rPr>
                  <w:rFonts w:ascii="Arial" w:cs="Arial" w:eastAsia="Arial" w:hAnsi="Arial"/>
                  <w:color w:val="1F5FBF"/>
                  <w:sz w:val="17"/>
                  <w:szCs w:val="17"/>
                  <w:u w:val="single"/>
                </w:rPr>
                <w:t xml:space="preserve">Решение Коллегии Евразийской экономической комиссии от 17.09.2019 № 154</w:t>
              </w:r>
            </w:hyperlink>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Прочие особенности</w:t>
            </w:r>
          </w:p>
        </w:tc>
        <w:tc>
          <w:tcPr>
            <w:tcW w:type="dxa" w:w="7604"/>
            <w:tcMar>
              <w:top w:type="dxa" w:w="80"/>
              <w:left w:type="dxa" w:w="120"/>
              <w:bottom w:type="dxa" w:w="80"/>
              <w:right w:type="dxa" w:w="120"/>
            </w:tcMar>
          </w:tcPr>
          <w:p>
            <w:pPr>
              <w:spacing w:after="60"/>
              <w:ind w:left="220" w:hanging="160"/>
            </w:pPr>
            <w:r>
              <w:rPr>
                <w:rFonts w:ascii="Arial" w:cs="Arial" w:eastAsia="Arial" w:hAnsi="Arial"/>
                <w:sz w:val="19"/>
                <w:szCs w:val="19"/>
              </w:rPr>
              <w:t xml:space="preserve">• Деревянная упаковка и крепёжный материал (поддоны, ящики, прокладки) должны иметь маркировку по международному стандарту МСФМ № 15 (Единые карантинные фитосанитарные требования, решение Совета ЕЭК от 30.11.2016 № 157).</w:t>
            </w:r>
          </w:p>
          <w:p>
            <w:pPr>
              <w:spacing w:after="60"/>
              <w:ind w:left="220" w:hanging="160"/>
            </w:pPr>
            <w:r>
              <w:rPr>
                <w:rFonts w:ascii="Arial" w:cs="Arial" w:eastAsia="Arial" w:hAnsi="Arial"/>
                <w:sz w:val="19"/>
                <w:szCs w:val="19"/>
              </w:rPr>
              <w:t xml:space="preserve">• Если на товаре есть товарный знак, проверьте его в таможенном реестре объектов интеллектуальной собственности: выпуск товара со знаком из реестра могут приостановить до подтверждения прав. Поиск по реестру: https://imexp.ru/tools/proverka-tovara?tab=trois</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Экспортный контроль</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Код не назван ни в одном из шести контрольных списков экспортного контроля (</w:t>
            </w:r>
            <w:hyperlink w:history="1" r:id="rIdfsi3xyavjlhzllkncte8f">
              <w:r>
                <w:rPr>
                  <w:rFonts w:ascii="Arial" w:cs="Arial" w:eastAsia="Arial" w:hAnsi="Arial"/>
                  <w:color w:val="1F5FBF"/>
                  <w:sz w:val="19"/>
                  <w:szCs w:val="19"/>
                  <w:u w:val="single"/>
                </w:rPr>
                <w:t xml:space="preserve">постановления Правительства РФ от 16.07.2022 № 1284</w:t>
              </w:r>
            </w:hyperlink>
            <w:r>
              <w:rPr>
                <w:rFonts w:ascii="Arial" w:cs="Arial" w:eastAsia="Arial" w:hAnsi="Arial"/>
                <w:sz w:val="19"/>
                <w:szCs w:val="19"/>
              </w:rPr>
              <w:t xml:space="preserve">–1288 и от 19.07.2022 № 1299).</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Классификация</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Решений о классификации по коду в наших наборах нет.</w:t>
            </w:r>
          </w:p>
          <w:p>
            <w:pPr>
              <w:spacing w:after="60"/>
            </w:pPr>
            <w:r>
              <w:rPr>
                <w:rFonts w:ascii="Arial" w:cs="Arial" w:eastAsia="Arial" w:hAnsi="Arial"/>
                <w:color w:val="5B6472"/>
                <w:sz w:val="17"/>
                <w:szCs w:val="17"/>
              </w:rPr>
              <w:t xml:space="preserve">Основание: Таможенный кодекс ЕАЭС, статьи 20–22</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Декларирование</w:t>
            </w:r>
          </w:p>
        </w:tc>
        <w:tc>
          <w:tcPr>
            <w:tcW w:type="dxa" w:w="7604"/>
            <w:tcMar>
              <w:top w:type="dxa" w:w="80"/>
              <w:left w:type="dxa" w:w="120"/>
              <w:bottom w:type="dxa" w:w="80"/>
              <w:right w:type="dxa" w:w="120"/>
            </w:tcMar>
          </w:tcPr>
          <w:p>
            <w:pPr>
              <w:spacing w:after="60"/>
            </w:pPr>
            <w:r>
              <w:rPr>
                <w:rFonts w:ascii="Arial" w:cs="Arial" w:eastAsia="Arial" w:hAnsi="Arial"/>
                <w:b/>
                <w:bCs/>
                <w:sz w:val="19"/>
                <w:szCs w:val="19"/>
              </w:rPr>
              <w:t xml:space="preserve">Графа 33 · Код товара</w:t>
            </w:r>
          </w:p>
          <w:p>
            <w:pPr>
              <w:spacing w:after="60"/>
              <w:ind w:left="220" w:hanging="160"/>
            </w:pPr>
            <w:r>
              <w:rPr>
                <w:rFonts w:ascii="Arial" w:cs="Arial" w:eastAsia="Arial" w:hAnsi="Arial"/>
                <w:sz w:val="19"/>
                <w:szCs w:val="19"/>
              </w:rPr>
              <w:t xml:space="preserve">• 7213999000</w:t>
            </w:r>
          </w:p>
          <w:p>
            <w:pPr>
              <w:spacing w:after="60"/>
              <w:ind w:left="220" w:hanging="160"/>
            </w:pPr>
            <w:r>
              <w:rPr>
                <w:rFonts w:ascii="Arial" w:cs="Arial" w:eastAsia="Arial" w:hAnsi="Arial"/>
                <w:sz w:val="19"/>
                <w:szCs w:val="19"/>
              </w:rPr>
              <w:t xml:space="preserve">• О — во втором подразделе, если под одним кодом декларируются товары разных наименований</w:t>
            </w:r>
          </w:p>
          <w:p>
            <w:pPr>
              <w:spacing w:after="60"/>
            </w:pPr>
            <w:r>
              <w:rPr>
                <w:rFonts w:ascii="Arial" w:cs="Arial" w:eastAsia="Arial" w:hAnsi="Arial"/>
                <w:b/>
                <w:bCs/>
                <w:sz w:val="19"/>
                <w:szCs w:val="19"/>
              </w:rPr>
              <w:t xml:space="preserve">Графа 36 · Преференция</w:t>
            </w:r>
          </w:p>
          <w:p>
            <w:pPr>
              <w:spacing w:after="60"/>
              <w:ind w:left="220" w:hanging="160"/>
            </w:pPr>
            <w:r>
              <w:rPr>
                <w:rFonts w:ascii="Arial" w:cs="Arial" w:eastAsia="Arial" w:hAnsi="Arial"/>
                <w:sz w:val="19"/>
                <w:szCs w:val="19"/>
              </w:rPr>
              <w:t xml:space="preserve">• ОООО-ОО — Сборы, пошлина, акциз, НДС: льготы не запрашиваются, акциза нет (прочерк)</w:t>
            </w:r>
          </w:p>
          <w:p>
            <w:pPr>
              <w:spacing w:after="60"/>
              <w:ind w:left="220" w:hanging="160"/>
            </w:pPr>
            <w:r>
              <w:rPr>
                <w:rFonts w:ascii="Arial" w:cs="Arial" w:eastAsia="Arial" w:hAnsi="Arial"/>
                <w:sz w:val="19"/>
                <w:szCs w:val="19"/>
              </w:rPr>
              <w:t xml:space="preserve">• ООНН-ОО — Тарифная преференция в отношении товаров, происходящих из наименее развитых стран · если товар происходит из наименее развитой страны и происхождение подтверждено</w:t>
            </w:r>
          </w:p>
          <w:p>
            <w:pPr>
              <w:spacing w:after="60"/>
            </w:pPr>
            <w:r>
              <w:rPr>
                <w:rFonts w:ascii="Arial" w:cs="Arial" w:eastAsia="Arial" w:hAnsi="Arial"/>
                <w:b/>
                <w:bCs/>
                <w:sz w:val="19"/>
                <w:szCs w:val="19"/>
              </w:rPr>
              <w:t xml:space="preserve">Графа 44 · Представленные документы</w:t>
            </w:r>
          </w:p>
          <w:p>
            <w:pPr>
              <w:spacing w:after="60"/>
              <w:ind w:left="220" w:hanging="160"/>
            </w:pPr>
            <w:r>
              <w:rPr>
                <w:rFonts w:ascii="Arial" w:cs="Arial" w:eastAsia="Arial" w:hAnsi="Arial"/>
                <w:sz w:val="19"/>
                <w:szCs w:val="19"/>
              </w:rPr>
              <w:t xml:space="preserve">• 06013 — Сертификат о происхождении товара формы "А" · если товар ввозится с тарифной преференцией</w:t>
            </w:r>
          </w:p>
          <w:p>
            <w:pPr>
              <w:spacing w:after="60"/>
            </w:pPr>
            <w:r>
              <w:rPr>
                <w:rFonts w:ascii="Arial" w:cs="Arial" w:eastAsia="Arial" w:hAnsi="Arial"/>
                <w:b/>
                <w:bCs/>
                <w:sz w:val="19"/>
                <w:szCs w:val="19"/>
              </w:rPr>
              <w:t xml:space="preserve">Графа 47 · Исчисление платежей</w:t>
            </w:r>
          </w:p>
          <w:p>
            <w:pPr>
              <w:spacing w:after="60"/>
              <w:ind w:left="220" w:hanging="160"/>
            </w:pPr>
            <w:r>
              <w:rPr>
                <w:rFonts w:ascii="Arial" w:cs="Arial" w:eastAsia="Arial" w:hAnsi="Arial"/>
                <w:sz w:val="19"/>
                <w:szCs w:val="19"/>
              </w:rPr>
              <w:t xml:space="preserve">• 1010 — Таможенные сборы за совершение таможенных операций (за таможенное оформление товаров, за таможенное декларирование товаров, за таможенные операции)</w:t>
            </w:r>
          </w:p>
          <w:p>
            <w:pPr>
              <w:spacing w:after="60"/>
              <w:ind w:left="220" w:hanging="160"/>
            </w:pPr>
            <w:r>
              <w:rPr>
                <w:rFonts w:ascii="Arial" w:cs="Arial" w:eastAsia="Arial" w:hAnsi="Arial"/>
                <w:sz w:val="19"/>
                <w:szCs w:val="19"/>
              </w:rPr>
              <w:t xml:space="preserve">• 2010 — Ввозная таможенная пошлина (иные пошлины, налоги и сборы, имеющие эквивалентное действие), обязанность по уплате которой возникла с 1 сентября 2010 г.</w:t>
            </w:r>
          </w:p>
          <w:p>
            <w:pPr>
              <w:spacing w:after="60"/>
              <w:ind w:left="220" w:hanging="160"/>
            </w:pPr>
            <w:r>
              <w:rPr>
                <w:rFonts w:ascii="Arial" w:cs="Arial" w:eastAsia="Arial" w:hAnsi="Arial"/>
                <w:sz w:val="19"/>
                <w:szCs w:val="19"/>
              </w:rPr>
              <w:t xml:space="preserve">• 5010 — Налог на добавленную стоимость</w:t>
            </w:r>
          </w:p>
          <w:p>
            <w:pPr>
              <w:spacing w:after="60"/>
            </w:pPr>
            <w:r>
              <w:rPr>
                <w:rFonts w:ascii="Arial" w:cs="Arial" w:eastAsia="Arial" w:hAnsi="Arial"/>
                <w:color w:val="5B6472"/>
                <w:sz w:val="17"/>
                <w:szCs w:val="17"/>
              </w:rPr>
              <w:t xml:space="preserve">Основание: </w:t>
            </w:r>
            <w:hyperlink w:history="1" r:id="rIdkmwxxbhnpbnngph6scsm8">
              <w:r>
                <w:rPr>
                  <w:rFonts w:ascii="Arial" w:cs="Arial" w:eastAsia="Arial" w:hAnsi="Arial"/>
                  <w:color w:val="1F5FBF"/>
                  <w:sz w:val="17"/>
                  <w:szCs w:val="17"/>
                  <w:u w:val="single"/>
                </w:rPr>
                <w:t xml:space="preserve">Решение Комиссии Таможенного союза от 20.05.2010 № 257</w:t>
              </w:r>
            </w:hyperlink>
            <w:r>
              <w:rPr>
                <w:rFonts w:ascii="Arial" w:cs="Arial" w:eastAsia="Arial" w:hAnsi="Arial"/>
                <w:color w:val="5B6472"/>
                <w:sz w:val="17"/>
                <w:szCs w:val="17"/>
              </w:rPr>
              <w:t xml:space="preserve">; классификаторы — </w:t>
            </w:r>
            <w:hyperlink w:history="1" r:id="rIdru57z6oggi61wmwwo38mc">
              <w:r>
                <w:rPr>
                  <w:rFonts w:ascii="Arial" w:cs="Arial" w:eastAsia="Arial" w:hAnsi="Arial"/>
                  <w:color w:val="1F5FBF"/>
                  <w:sz w:val="17"/>
                  <w:szCs w:val="17"/>
                  <w:u w:val="single"/>
                </w:rPr>
                <w:t xml:space="preserve">Решение Комиссии Таможенного союза от 20.09.2010 № 378</w:t>
              </w:r>
            </w:hyperlink>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Как менялась ставка</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Решения ЕЭК с 2016 года, в тексте которых назван код: ставка пошлины, тарифные квоты, защитные и антидемпинговые пошлины. Прежняя ставка — в таблице самого решения.</w:t>
            </w:r>
          </w:p>
          <w:p>
            <w:pPr>
              <w:spacing w:after="60"/>
              <w:ind w:left="220" w:hanging="160"/>
            </w:pPr>
            <w:r>
              <w:rPr>
                <w:rFonts w:ascii="Arial" w:cs="Arial" w:eastAsia="Arial" w:hAnsi="Arial"/>
                <w:sz w:val="19"/>
                <w:szCs w:val="19"/>
              </w:rPr>
              <w:t xml:space="preserve">• </w:t>
            </w:r>
            <w:hyperlink w:history="1" r:id="rId2o-yzjtaguhdna3lp4zy2">
              <w:r>
                <w:rPr>
                  <w:rFonts w:ascii="Arial" w:cs="Arial" w:eastAsia="Arial" w:hAnsi="Arial"/>
                  <w:color w:val="1F5FBF"/>
                  <w:sz w:val="19"/>
                  <w:szCs w:val="19"/>
                  <w:u w:val="single"/>
                </w:rPr>
                <w:t xml:space="preserve">Решение Коллегии ЕЭК № 113 от 25.08.2026</w:t>
              </w:r>
            </w:hyperlink>
            <w:r>
              <w:rPr>
                <w:rFonts w:ascii="Arial" w:cs="Arial" w:eastAsia="Arial" w:hAnsi="Arial"/>
                <w:sz w:val="19"/>
                <w:szCs w:val="19"/>
              </w:rPr>
              <w:t xml:space="preserve"> — О применении ставок ввозных таможенных пошлин в отношении товаров, происходящих из Объединенных Арабских Эмиратов и ввозимых на таможенную территорию Евразийского экономического союза (вступило в силу 06.10.2026)</w:t>
            </w:r>
          </w:p>
          <w:p>
            <w:pPr>
              <w:spacing w:after="60"/>
              <w:ind w:left="220" w:hanging="160"/>
            </w:pPr>
            <w:r>
              <w:rPr>
                <w:rFonts w:ascii="Arial" w:cs="Arial" w:eastAsia="Arial" w:hAnsi="Arial"/>
                <w:sz w:val="19"/>
                <w:szCs w:val="19"/>
              </w:rPr>
              <w:t xml:space="preserve">• </w:t>
            </w:r>
            <w:hyperlink w:history="1" r:id="rIda-bgujzintzb-wipxyrad">
              <w:r>
                <w:rPr>
                  <w:rFonts w:ascii="Arial" w:cs="Arial" w:eastAsia="Arial" w:hAnsi="Arial"/>
                  <w:color w:val="1F5FBF"/>
                  <w:sz w:val="19"/>
                  <w:szCs w:val="19"/>
                  <w:u w:val="single"/>
                </w:rPr>
                <w:t xml:space="preserve">Решение Коллегии ЕЭК №28 от 29.03.2016</w:t>
              </w:r>
            </w:hyperlink>
            <w:r>
              <w:rPr>
                <w:rFonts w:ascii="Arial" w:cs="Arial" w:eastAsia="Arial" w:hAnsi="Arial"/>
                <w:sz w:val="19"/>
                <w:szCs w:val="19"/>
              </w:rPr>
              <w:t xml:space="preserve"> — О применении антидемпинговой меры посредством введения антидемпинговой пошлины в отношении прутков, происходящих из Украины и ввозимых на таможенную территорию Евразийского экономического союза (вступило в силу 30.04.2016)</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Переходные ключи ОКПД2</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Ключей для этого кода в таблице Минэкономразвития нет.</w:t>
            </w:r>
          </w:p>
        </w:tc>
      </w:tr>
    </w:tbl>
    <w:p>
      <w:pPr>
        <w:spacing w:after="60" w:before="240"/>
      </w:pPr>
    </w:p>
    <w:p>
      <w:pPr>
        <w:spacing w:after="60"/>
      </w:pPr>
      <w:r>
        <w:rPr>
          <w:rFonts w:ascii="Arial" w:cs="Arial" w:eastAsia="Arial" w:hAnsi="Arial"/>
          <w:color w:val="5B6472"/>
          <w:sz w:val="17"/>
          <w:szCs w:val="17"/>
        </w:rPr>
        <w:t xml:space="preserve">Справка собрана автоматически по официальным актам ЕАЭС и России. Меры, найденные по началу кода, помечены как касающиеся части товаров: применима ли мера к вашему товару, решают его характеристики и документы поставки. Справка не заменяет решение по классификации.</w:t>
      </w:r>
    </w:p>
    <w:p>
      <w:pPr>
        <w:spacing w:after="60"/>
      </w:pPr>
      <w:r>
        <w:rPr>
          <w:rFonts w:ascii="Arial" w:cs="Arial" w:eastAsia="Arial" w:hAnsi="Arial"/>
          <w:color w:val="5B6472"/>
          <w:sz w:val="17"/>
          <w:szCs w:val="17"/>
        </w:rPr>
        <w:t xml:space="preserve">Разъяснительные письма таможни и судебная практика в справку не входят. Проверку кода под ваш товар с обоснованием можно заказать на странице кода.</w:t>
      </w:r>
    </w:p>
    <w:p>
      <w:pPr>
        <w:jc w:val="left"/>
      </w:pPr>
      <w:r>
        <w:rPr>
          <w:rFonts w:ascii="Arial" w:cs="Arial" w:eastAsia="Arial" w:hAnsi="Arial"/>
          <w:color w:val="1F5FBF"/>
          <w:sz w:val="17"/>
          <w:szCs w:val="17"/>
        </w:rPr>
        <w:t xml:space="preserve">https://imexp.ru/katalog/kod/7213999000</w:t>
      </w:r>
    </w:p>
    <w:sectPr>
      <w:pgSz w:w="11906" w:h="16838" w:orient="portrait"/>
      <w:pgMar w:top="851" w:right="851" w:bottom="851" w:left="851"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zovjoqnd8-jpj0x0v2qfk" Type="http://schemas.openxmlformats.org/officeDocument/2006/relationships/hyperlink" Target="https://docs.eaeunion.org/documents/386/6099/" TargetMode="External"/><Relationship Id="rIdpupqoi6u3wo_s-jxyz7er" Type="http://schemas.openxmlformats.org/officeDocument/2006/relationships/hyperlink" Target="https://docs.eaeunion.org/documents/386/6099/" TargetMode="External"/><Relationship Id="rIdy4blvhkverjay8gl8rdgl" Type="http://schemas.openxmlformats.org/officeDocument/2006/relationships/hyperlink" Target="https://docs.eaeunion.org/documents/335/4666/" TargetMode="External"/><Relationship Id="rId_jul7nw6nowx05p52q58r" Type="http://schemas.openxmlformats.org/officeDocument/2006/relationships/hyperlink" Target="http://publication.pravo.gov.ru/document/0001202308040119" TargetMode="External"/><Relationship Id="rIdrpw4pe--9sibl8qzmybr8" Type="http://schemas.openxmlformats.org/officeDocument/2006/relationships/hyperlink" Target="https://www.ecfr.gov/current/title-15/subtitle-B/chapter-VII/subchapter-C/part-746" TargetMode="External"/><Relationship Id="rIdw9nebqh5kqtcq4azf1lvt" Type="http://schemas.openxmlformats.org/officeDocument/2006/relationships/hyperlink" Target="http://publication.pravo.gov.ru/document/0001202308040119" TargetMode="External"/><Relationship Id="rId7wnuipymbt5zirefk0f1l" Type="http://schemas.openxmlformats.org/officeDocument/2006/relationships/hyperlink" Target="https://docs.eaeunion.org/documents/386/6099/" TargetMode="External"/><Relationship Id="rId6so6--bbwrsq3cyspyxzq" Type="http://schemas.openxmlformats.org/officeDocument/2006/relationships/hyperlink" Target="https://docs.eaeunion.org/documents/317/2804/" TargetMode="External"/><Relationship Id="rIdcxpm7xo7uho8ex4v93miv" Type="http://schemas.openxmlformats.org/officeDocument/2006/relationships/hyperlink" Target="http://publication.pravo.gov.ru/document/0001202411290098" TargetMode="External"/><Relationship Id="rIdwqqodlyt_g0yc5jagli5i" Type="http://schemas.openxmlformats.org/officeDocument/2006/relationships/hyperlink" Target="http://publication.pravo.gov.ru/document/0001201805040007" TargetMode="External"/><Relationship Id="rIda9mjndlssa4bvjchssqhx" Type="http://schemas.openxmlformats.org/officeDocument/2006/relationships/hyperlink" Target="https://eec.eaeunion.org/comission/department/deptexreg/tr/%D0%A2%D0%A0-%D0%A2%D0%A1-032.php" TargetMode="External"/><Relationship Id="rIdem6ye9c5lj7xpltvuqnuu" Type="http://schemas.openxmlformats.org/officeDocument/2006/relationships/hyperlink" Target="https://docs.eaeunion.org/documents/335/4666/" TargetMode="External"/><Relationship Id="rIdfsi3xyavjlhzllkncte8f" Type="http://schemas.openxmlformats.org/officeDocument/2006/relationships/hyperlink" Target="http://publication.pravo.gov.ru/document/0001202207190026" TargetMode="External"/><Relationship Id="rIdkmwxxbhnpbnngph6scsm8" Type="http://schemas.openxmlformats.org/officeDocument/2006/relationships/hyperlink" Target="https://docs.eaeunion.org/documents/214/946/" TargetMode="External"/><Relationship Id="rIdru57z6oggi61wmwwo38mc" Type="http://schemas.openxmlformats.org/officeDocument/2006/relationships/hyperlink" Target="https://docs.eaeunion.org/documents/208/8939/" TargetMode="External"/><Relationship Id="rId2o-yzjtaguhdna3lp4zy2" Type="http://schemas.openxmlformats.org/officeDocument/2006/relationships/hyperlink" Target="https://docs.eaeunion.org/documents/463/10896/" TargetMode="External"/><Relationship Id="rIda-bgujzintzb-wipxyrad" Type="http://schemas.openxmlformats.org/officeDocument/2006/relationships/hyperlink" Target="https://docs.eaeunion.org/documents/305/2176/" TargetMode="External"/><Relationship Id="rId24"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Справка о товаре 7213 99 900 0</dc:title>
  <dc:creator>IMEXP</dc:creator>
  <cp:lastModifiedBy>Un-named</cp:lastModifiedBy>
  <cp:revision>1</cp:revision>
  <dcterms:created xsi:type="dcterms:W3CDTF">2026-10-31T16:08:47.928Z</dcterms:created>
  <dcterms:modified xsi:type="dcterms:W3CDTF">2026-10-31T16:08:47.928Z</dcterms:modified>
</cp:coreProperties>
</file>

<file path=docProps/custom.xml><?xml version="1.0" encoding="utf-8"?>
<Properties xmlns="http://schemas.openxmlformats.org/officeDocument/2006/custom-properties" xmlns:vt="http://schemas.openxmlformats.org/officeDocument/2006/docPropsVTypes"/>
</file>