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11 910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11 — Прямоугольные (включая квадратные): из алюминия нелегированного</w:t>
            </w:r>
          </w:p>
          <w:p>
            <w:pPr>
              <w:spacing w:after="60"/>
            </w:pPr>
            <w:r>
              <w:rPr>
                <w:rFonts w:ascii="Arial" w:cs="Arial" w:eastAsia="Arial" w:hAnsi="Arial"/>
                <w:color w:val="5B6472"/>
                <w:sz w:val="17"/>
                <w:szCs w:val="17"/>
              </w:rPr>
              <w:t xml:space="preserve">7606 11 91 — Прямоугольные (включая квадратные): из алюминия нелегированного: прочие, толщиной: менее 3 мм</w:t>
            </w:r>
          </w:p>
          <w:p>
            <w:pPr>
              <w:spacing w:after="60"/>
            </w:pPr>
            <w:r>
              <w:rPr>
                <w:rFonts w:ascii="Arial" w:cs="Arial" w:eastAsia="Arial" w:hAnsi="Arial"/>
                <w:b/>
                <w:bCs/>
                <w:sz w:val="19"/>
                <w:szCs w:val="19"/>
              </w:rPr>
              <w:t xml:space="preserve">7606 11 910 0 — Прямоугольные (включая квадратные): из алюминия нелегированного: прочие, толщиной: менее 3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2obbf1h66mk8f8cyqtj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je8q9lixddmrg0koryp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q6wh3iw-zdmw8ma1ocu1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a5vznk3avqdjrnporse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butlalb_opqfhvjfbassc">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ccxydgbeooe6fcvvyxnig">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nhxx2hp02ge2bsxkyuqy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53gws9wgeq2sleocrkf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h5hssz2rzs_exzl--vf6">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Алюминиевая лента</w:t>
            </w:r>
          </w:p>
          <w:p>
            <w:pPr>
              <w:spacing w:after="60"/>
            </w:pPr>
            <w:r>
              <w:rPr>
                <w:rFonts w:ascii="Arial" w:cs="Arial" w:eastAsia="Arial" w:hAnsi="Arial"/>
                <w:sz w:val="19"/>
                <w:szCs w:val="19"/>
              </w:rPr>
              <w:t xml:space="preserve">Страны: Азербайджан, Китай; действует до 24.05.2031.</w:t>
            </w:r>
          </w:p>
          <w:p>
            <w:pPr>
              <w:spacing w:after="60"/>
            </w:pPr>
            <w:r>
              <w:rPr>
                <w:rFonts w:ascii="Arial" w:cs="Arial" w:eastAsia="Arial" w:hAnsi="Arial"/>
                <w:color w:val="5B6472"/>
                <w:sz w:val="17"/>
                <w:szCs w:val="17"/>
              </w:rPr>
              <w:t xml:space="preserve">Антидемпинговая пошлина в процентах от таможенной стоимости:​ - для алюминиевой ленты, происходящей из Азербайджанской Республики — 16,18 %; - для алюминиевой ленты, происходящей из Китайской Народной Республики — 13,14 %.</w:t>
            </w:r>
          </w:p>
          <w:p>
            <w:pPr>
              <w:spacing w:after="60"/>
            </w:pPr>
            <w:r>
              <w:rPr>
                <w:rFonts w:ascii="Arial" w:cs="Arial" w:eastAsia="Arial" w:hAnsi="Arial"/>
                <w:color w:val="5B6472"/>
                <w:sz w:val="17"/>
                <w:szCs w:val="17"/>
              </w:rPr>
              <w:t xml:space="preserve">​</w:t>
            </w:r>
            <w:hyperlink w:history="1" r:id="rIdwhnssckcwvo0h0h_pl_sl">
              <w:r>
                <w:rPr>
                  <w:rFonts w:ascii="Arial" w:cs="Arial" w:eastAsia="Arial" w:hAnsi="Arial"/>
                  <w:color w:val="1F5FBF"/>
                  <w:sz w:val="17"/>
                  <w:szCs w:val="17"/>
                  <w:u w:val="single"/>
                </w:rPr>
                <w:t xml:space="preserve">Решение Коллегии ЕЭК от 22 сентября 2020 г. № 115</w:t>
              </w:r>
            </w:hyperlink>
            <w:r>
              <w:rPr>
                <w:rFonts w:ascii="Arial" w:cs="Arial" w:eastAsia="Arial" w:hAnsi="Arial"/>
                <w:color w:val="5B6472"/>
                <w:sz w:val="17"/>
                <w:szCs w:val="17"/>
              </w:rPr>
              <w:t xml:space="preserve">​ - о применении меры </w:t>
            </w:r>
            <w:hyperlink w:history="1" r:id="rIdm00yxxle4hmycw3dsm1ti">
              <w:r>
                <w:rPr>
                  <w:rFonts w:ascii="Arial" w:cs="Arial" w:eastAsia="Arial" w:hAnsi="Arial"/>
                  <w:color w:val="1F5FBF"/>
                  <w:sz w:val="17"/>
                  <w:szCs w:val="17"/>
                  <w:u w:val="single"/>
                </w:rPr>
                <w:t xml:space="preserve">Решение Коллегии ЕЭК от 12 января 2021 г. № 1</w:t>
              </w:r>
            </w:hyperlink>
            <w:r>
              <w:rPr>
                <w:rFonts w:ascii="Arial" w:cs="Arial" w:eastAsia="Arial" w:hAnsi="Arial"/>
                <w:color w:val="5B6472"/>
                <w:sz w:val="17"/>
                <w:szCs w:val="17"/>
              </w:rPr>
              <w:t xml:space="preserve">​ - о внесении изменений в части кодов ТН ВЭД ЕАЭС </w:t>
            </w:r>
            <w:hyperlink w:history="1" r:id="rIdlcpzi8gvm06p52rec8l2g">
              <w:r>
                <w:rPr>
                  <w:rFonts w:ascii="Arial" w:cs="Arial" w:eastAsia="Arial" w:hAnsi="Arial"/>
                  <w:color w:val="1F5FBF"/>
                  <w:sz w:val="17"/>
                  <w:szCs w:val="17"/>
                  <w:u w:val="single"/>
                </w:rPr>
                <w:t xml:space="preserve">Решение Коллегии ЕЭК от 27 августа 2024 г. № 102</w:t>
              </w:r>
            </w:hyperlink>
            <w:r>
              <w:rPr>
                <w:rFonts w:ascii="Arial" w:cs="Arial" w:eastAsia="Arial" w:hAnsi="Arial"/>
                <w:color w:val="5B6472"/>
                <w:sz w:val="17"/>
                <w:szCs w:val="17"/>
              </w:rPr>
              <w:t xml:space="preserve"> ​ - о распространении меры на товары из Азербайджанской Республики, классифицируемые кодом 7607 11 900 0 ТН ВЭД ЕАЭС, и алюминиевую ленту из Азербайджанской Республики, указанную в пункте 3 приложения № 2 к </w:t>
            </w:r>
            <w:hyperlink w:history="1" r:id="rIdwqpx_uvrkkkjzkkrczrcf">
              <w:r>
                <w:rPr>
                  <w:rFonts w:ascii="Arial" w:cs="Arial" w:eastAsia="Arial" w:hAnsi="Arial"/>
                  <w:color w:val="1F5FBF"/>
                  <w:sz w:val="17"/>
                  <w:szCs w:val="17"/>
                  <w:u w:val="single"/>
                </w:rPr>
                <w:t xml:space="preserve">Решению Коллегии ЕЭК от 22 сентября 2020 г. № 115</w:t>
              </w:r>
            </w:hyperlink>
            <w:r>
              <w:rPr>
                <w:rFonts w:ascii="Arial" w:cs="Arial" w:eastAsia="Arial" w:hAnsi="Arial"/>
                <w:color w:val="5B6472"/>
                <w:sz w:val="17"/>
                <w:szCs w:val="17"/>
              </w:rPr>
              <w:t xml:space="preserve"> Решение Коллегии ЕЭК от…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tqmtuxspsnvshcqtj9z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7gqnp4r5wic0pj_ejibx1">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11 действует сертификатов: 1, деклараций: 2; по </w:t>
            </w:r>
            <w:hyperlink w:history="1" r:id="rIdjkog_5jtictjtlxlc-aso">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p7x4sbnevr-4yw43ravps">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eh5bmemimw-bh2dg32erd">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q0g-f6icugj03rw-dlf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lj5lyoe1pyx9rkfibmvgj">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ww0zueh1jglwjksr8w21">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(3);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Товар представляет собой алюминиевый прокат с рифлением. Применяется в автомобилестроении, в качестве обшивки кабин автомобилей специального назначения, а также в других отраслях промышленности и народного хозяйства. Толщина основания…</w:t>
            </w:r>
          </w:p>
          <w:p>
            <w:pPr>
              <w:spacing w:after="60"/>
            </w:pPr>
            <w:r>
              <w:rPr>
                <w:rFonts w:ascii="Arial" w:cs="Arial" w:eastAsia="Arial" w:hAnsi="Arial"/>
                <w:color w:val="5B6472"/>
                <w:sz w:val="17"/>
                <w:szCs w:val="17"/>
              </w:rPr>
              <w:t xml:space="preserve">Основные правила интерпретации 1 (примечание 1 (а) к субпозициям группы 76) и 6 ТН ВЭД ЕАЭС</w:t>
            </w:r>
          </w:p>
          <w:p>
            <w:pPr>
              <w:spacing w:after="60"/>
              <w:ind w:left="220" w:hanging="160"/>
            </w:pPr>
            <w:r>
              <w:rPr>
                <w:rFonts w:ascii="Arial" w:cs="Arial" w:eastAsia="Arial" w:hAnsi="Arial"/>
                <w:sz w:val="19"/>
                <w:szCs w:val="19"/>
              </w:rPr>
              <w:t xml:space="preserve">• Беларусь: Товар представляет собой алюминиевый прокат с сечением прямоугольной формы без рисунка на поверхности. Применяется в автомобилестроении, в качестве обшивки кабин автомобилей специального назначения, а также в других отраслях промышленности…</w:t>
            </w:r>
          </w:p>
          <w:p>
            <w:pPr>
              <w:spacing w:after="60"/>
            </w:pPr>
            <w:r>
              <w:rPr>
                <w:rFonts w:ascii="Arial" w:cs="Arial" w:eastAsia="Arial" w:hAnsi="Arial"/>
                <w:color w:val="5B6472"/>
                <w:sz w:val="17"/>
                <w:szCs w:val="17"/>
              </w:rPr>
              <w:t xml:space="preserve">Основные правила интерпретации 1 (примечание 1 (а) к субпозициям группы 76) и 6 ТН ВЭД ЕАЭС</w:t>
            </w:r>
          </w:p>
          <w:p>
            <w:pPr>
              <w:spacing w:after="60"/>
              <w:ind w:left="220" w:hanging="160"/>
            </w:pPr>
            <w:r>
              <w:rPr>
                <w:rFonts w:ascii="Arial" w:cs="Arial" w:eastAsia="Arial" w:hAnsi="Arial"/>
                <w:sz w:val="19"/>
                <w:szCs w:val="19"/>
              </w:rPr>
              <w:t xml:space="preserve">• Беларусь: Товар представляет собой алюминиевый прокат с сечением прямоугольной формы с рифлением. Применяется в автомобилестроении, в качестве обшивки кабин автомобилей специального назначения, а также в других отраслях промышленности и народного…</w:t>
            </w:r>
          </w:p>
          <w:p>
            <w:pPr>
              <w:spacing w:after="60"/>
            </w:pPr>
            <w:r>
              <w:rPr>
                <w:rFonts w:ascii="Arial" w:cs="Arial" w:eastAsia="Arial" w:hAnsi="Arial"/>
                <w:color w:val="5B6472"/>
                <w:sz w:val="17"/>
                <w:szCs w:val="17"/>
              </w:rPr>
              <w:t xml:space="preserve">Основные правила интерпретации 1 (примечание 1 (а) к субпозициям группы 76) и 6 ТН ВЭД ЕАЭС</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7606119100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myr4yyysz3h_wa57a3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hv0aykypuxisb70khfq7">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jjtcghyifmp1qtmwejr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0ortcfsttvi4xwib0hdiq">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nq4denvngvk0k50p0kewe">
              <w:r>
                <w:rPr>
                  <w:rFonts w:ascii="Arial" w:cs="Arial" w:eastAsia="Arial" w:hAnsi="Arial"/>
                  <w:color w:val="1F5FBF"/>
                  <w:sz w:val="19"/>
                  <w:szCs w:val="19"/>
                  <w:u w:val="single"/>
                </w:rPr>
                <w:t xml:space="preserve">Решение Коллегии ЕЭК № 115 от 22.09.2020</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алюминиевой ленты, происходящей из Азербайджанской Республики и Китайской Народной Республики и ввозимой на… (вступило в силу 24.10.2020)</w:t>
            </w:r>
          </w:p>
          <w:p>
            <w:pPr>
              <w:spacing w:after="60"/>
              <w:ind w:left="220" w:hanging="160"/>
            </w:pPr>
            <w:r>
              <w:rPr>
                <w:rFonts w:ascii="Arial" w:cs="Arial" w:eastAsia="Arial" w:hAnsi="Arial"/>
                <w:sz w:val="19"/>
                <w:szCs w:val="19"/>
              </w:rPr>
              <w:t xml:space="preserve">• </w:t>
            </w:r>
            <w:hyperlink w:history="1" r:id="rIdxvfhma79e5i-jk8glc8cp">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xxp2oqfq2efqtr22zbkbg">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snoj01kmjoi7ynzykz1v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24.42.24 — Плиты, листы, полосы и ленты алюминиевые толщиной более 0,2 мм</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https://imexp.ru/katalog/kod/7606119100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2obbf1h66mk8f8cyqtjr" Type="http://schemas.openxmlformats.org/officeDocument/2006/relationships/hyperlink" Target="https://imexp.ru/akty/reshenie-soveta-eek-80-2021" TargetMode="External"/><Relationship Id="rIdzje8q9lixddmrg0korypj" Type="http://schemas.openxmlformats.org/officeDocument/2006/relationships/hyperlink" Target="https://imexp.ru/akty/reshenie-soveta-eek-80-2021" TargetMode="External"/><Relationship Id="rIdq6wh3iw-zdmw8ma1ocu1h" Type="http://schemas.openxmlformats.org/officeDocument/2006/relationships/hyperlink" Target="https://imexp.ru/akty/reshenie-kollegii-eek-154-2019" TargetMode="External"/><Relationship Id="rIdaa5vznk3avqdjrnporse4" Type="http://schemas.openxmlformats.org/officeDocument/2006/relationships/hyperlink" Target="https://imexp.ru/akty/prikaz-minpromtorga-2701-2023" TargetMode="External"/><Relationship Id="rIdbutlalb_opqfhvjfbassc" Type="http://schemas.openxmlformats.org/officeDocument/2006/relationships/hyperlink" Target="https://imexp.ru/akty/postanovlenie-923-2012" TargetMode="External"/><Relationship Id="rIdccxydgbeooe6fcvvyxnig" Type="http://schemas.openxmlformats.org/officeDocument/2006/relationships/hyperlink" Target="https://imexp.ru/akty/rasporyazhenie-1568-r-2024" TargetMode="External"/><Relationship Id="rIdnhxx2hp02ge2bsxkyuqyu" Type="http://schemas.openxmlformats.org/officeDocument/2006/relationships/hyperlink" Target="https://www.ecfr.gov/current/title-15/subtitle-B/chapter-VII/subchapter-C/part-746" TargetMode="External"/><Relationship Id="rIdg53gws9wgeq2sleocrkfj" Type="http://schemas.openxmlformats.org/officeDocument/2006/relationships/hyperlink" Target="https://imexp.ru/akty/prikaz-minpromtorga-2701-2023" TargetMode="External"/><Relationship Id="rIdch5hssz2rzs_exzl--vf6" Type="http://schemas.openxmlformats.org/officeDocument/2006/relationships/hyperlink" Target="https://imexp.ru/akty/reshenie-soveta-eek-80-2021" TargetMode="External"/><Relationship Id="rIdwhnssckcwvo0h0h_pl_sl" Type="http://schemas.openxmlformats.org/officeDocument/2006/relationships/hyperlink" Target="https://imexp.ru/akty/reshenie-kollegii-eek-115-2020" TargetMode="External"/><Relationship Id="rIdm00yxxle4hmycw3dsm1ti" Type="http://schemas.openxmlformats.org/officeDocument/2006/relationships/hyperlink" Target="https://imexp.ru/akty/reshenie-kollegii-eek-1-2021" TargetMode="External"/><Relationship Id="rIdlcpzi8gvm06p52rec8l2g" Type="http://schemas.openxmlformats.org/officeDocument/2006/relationships/hyperlink" Target="https://imexp.ru/akty/reshenie-kollegii-eek-102-2024" TargetMode="External"/><Relationship Id="rIdwqpx_uvrkkkjzkkrczrcf" Type="http://schemas.openxmlformats.org/officeDocument/2006/relationships/hyperlink" Target="https://imexp.ru/akty/reshenie-kollegii-eek-115-2020" TargetMode="External"/><Relationship Id="rIdbtqmtuxspsnvshcqtj9zn" Type="http://schemas.openxmlformats.org/officeDocument/2006/relationships/hyperlink" Target="https://imexp.ru/akty/postanovlenie-1637-2024" TargetMode="External"/><Relationship Id="rId7gqnp4r5wic0pj_ejibx1" Type="http://schemas.openxmlformats.org/officeDocument/2006/relationships/hyperlink" Target="https://imexp.ru/akty/rasporyazhenie-792-r-2018" TargetMode="External"/><Relationship Id="rIdjkog_5jtictjtlxlc-aso" Type="http://schemas.openxmlformats.org/officeDocument/2006/relationships/hyperlink" Target="https://imexp.ru/katalog/tehreglamenty/tr-ts-010-2011" TargetMode="External"/><Relationship Id="rIdp7x4sbnevr-4yw43ravps" Type="http://schemas.openxmlformats.org/officeDocument/2006/relationships/hyperlink" Target="https://imexp.ru/katalog/tehreglamenty/tr-ts-018-2011" TargetMode="External"/><Relationship Id="rIdeh5bmemimw-bh2dg32erd" Type="http://schemas.openxmlformats.org/officeDocument/2006/relationships/hyperlink" Target="https://imexp.ru/katalog/tehreglamenty/tr-ts-005-2011" TargetMode="External"/><Relationship Id="rIduq0g-f6icugj03rw-dlfs" Type="http://schemas.openxmlformats.org/officeDocument/2006/relationships/hyperlink" Target="https://imexp.ru/akty/reshenie-kollegii-eek-154-2019" TargetMode="External"/><Relationship Id="rIdlj5lyoe1pyx9rkfibmvgj" Type="http://schemas.openxmlformats.org/officeDocument/2006/relationships/hyperlink" Target="https://imexp.ru/akty/reshenie-soveta-eek-157-2016" TargetMode="External"/><Relationship Id="rIdoww0zueh1jglwjksr8w21" Type="http://schemas.openxmlformats.org/officeDocument/2006/relationships/hyperlink" Target="https://imexp.ru/akty/postanovlenie-1284-2022" TargetMode="External"/><Relationship Id="rIdp-myr4yyysz3h_wa57a3e" Type="http://schemas.openxmlformats.org/officeDocument/2006/relationships/hyperlink" Target="https://imexp.ru/akty/reshenie-kts-257-2010" TargetMode="External"/><Relationship Id="rIdthv0aykypuxisb70khfq7" Type="http://schemas.openxmlformats.org/officeDocument/2006/relationships/hyperlink" Target="https://imexp.ru/akty/reshenie-kts-378-2010" TargetMode="External"/><Relationship Id="rIdhjjtcghyifmp1qtmwejrt" Type="http://schemas.openxmlformats.org/officeDocument/2006/relationships/hyperlink" Target="https://docs.eaeunion.org/documents/463/10896/" TargetMode="External"/><Relationship Id="rId0ortcfsttvi4xwib0hdiq" Type="http://schemas.openxmlformats.org/officeDocument/2006/relationships/hyperlink" Target="https://docs.eaeunion.org/documents/248/5450/" TargetMode="External"/><Relationship Id="rIdnq4denvngvk0k50p0kewe" Type="http://schemas.openxmlformats.org/officeDocument/2006/relationships/hyperlink" Target="https://docs.eaeunion.org/documents/247/5342/" TargetMode="External"/><Relationship Id="rIdxvfhma79e5i-jk8glc8cp" Type="http://schemas.openxmlformats.org/officeDocument/2006/relationships/hyperlink" Target="https://docs.eaeunion.org/documents/338/4871/" TargetMode="External"/><Relationship Id="rIdxxp2oqfq2efqtr22zbkbg" Type="http://schemas.openxmlformats.org/officeDocument/2006/relationships/hyperlink" Target="https://docs.eaeunion.org/documents/305/2174/" TargetMode="External"/><Relationship Id="rIdsnoj01kmjoi7ynzykz1vt"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11 910 0</dc:title>
  <dc:creator>IMEXP</dc:creator>
  <cp:lastModifiedBy>Un-named</cp:lastModifiedBy>
  <cp:revision>1</cp:revision>
  <dcterms:created xsi:type="dcterms:W3CDTF">2026-11-05T13:56:33.718Z</dcterms:created>
  <dcterms:modified xsi:type="dcterms:W3CDTF">2026-11-05T13:56:33.718Z</dcterms:modified>
</cp:coreProperties>
</file>

<file path=docProps/custom.xml><?xml version="1.0" encoding="utf-8"?>
<Properties xmlns="http://schemas.openxmlformats.org/officeDocument/2006/custom-properties" xmlns:vt="http://schemas.openxmlformats.org/officeDocument/2006/docPropsVTypes"/>
</file>