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8302 42 000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8302 —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w:t>
            </w:r>
          </w:p>
          <w:p>
            <w:pPr>
              <w:spacing w:after="60"/>
            </w:pPr>
            <w:r>
              <w:rPr>
                <w:rFonts w:ascii="Arial" w:cs="Arial" w:eastAsia="Arial" w:hAnsi="Arial"/>
                <w:color w:val="5B6472"/>
                <w:sz w:val="17"/>
                <w:szCs w:val="17"/>
              </w:rPr>
              <w:t xml:space="preserve">8302 42 — Крепежная арматура, фурнитура и аналогичные детали прочие: прочие, применяемые для мебели</w:t>
            </w:r>
          </w:p>
          <w:p>
            <w:pPr>
              <w:spacing w:after="60"/>
            </w:pPr>
            <w:r>
              <w:rPr>
                <w:rFonts w:ascii="Arial" w:cs="Arial" w:eastAsia="Arial" w:hAnsi="Arial"/>
                <w:color w:val="5B6472"/>
                <w:sz w:val="17"/>
                <w:szCs w:val="17"/>
              </w:rPr>
              <w:t xml:space="preserve">8302 42 00 — Крепежная арматура, фурнитура и аналогичные детали прочие: прочие, применяемые для мебели</w:t>
            </w:r>
          </w:p>
          <w:p>
            <w:pPr>
              <w:spacing w:after="60"/>
            </w:pPr>
            <w:r>
              <w:rPr>
                <w:rFonts w:ascii="Arial" w:cs="Arial" w:eastAsia="Arial" w:hAnsi="Arial"/>
                <w:b/>
                <w:bCs/>
                <w:sz w:val="19"/>
                <w:szCs w:val="19"/>
              </w:rPr>
              <w:t xml:space="preserve">8302 42 000 0 — Крепежная арматура, фурнитура и аналогичные детали прочие: прочие, применяемые для мебели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h6gvniz5qyqnhr8qhrc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wdl7pwh4gl0qv406wpl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yxrtycobhr1kjkvxh-n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vzprkzbk6bjwtlivwi0e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qoepcfy-gydoehnxao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a0aasok3vvevifyxzkjb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1vxf8hz4iwvtzighok8a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268 (8302): APPLE, COGNEX, ERGOTRON, HANS PRIES, HEWLETT PACKARD (HP), NEC, vogel's, WEINTEK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bp_7sbs1ls1knekqq0j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70vy-as16twkmtitdkp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qyvubqfcclmpbmbcv6n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s24l5w2cfx3eirik_dn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8302 42 действует сертификатов: 0, деклараций: 20; чаще по </w:t>
            </w:r>
            <w:hyperlink w:history="1" r:id="rIdihepl1uwhp3enkrthgro9">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 </w:t>
            </w:r>
            <w:hyperlink w:history="1" r:id="rIdqstydvfwsb2dfg4gohdlq">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9pbfbnuypkqfkuux9eys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aecz1ourc39l-lqp15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(3):</w:t>
            </w:r>
          </w:p>
          <w:p>
            <w:pPr>
              <w:spacing w:after="60"/>
              <w:ind w:left="220" w:hanging="160"/>
            </w:pPr>
            <w:r>
              <w:rPr>
                <w:rFonts w:ascii="Arial" w:cs="Arial" w:eastAsia="Arial" w:hAnsi="Arial"/>
                <w:sz w:val="19"/>
                <w:szCs w:val="19"/>
              </w:rPr>
              <w:t xml:space="preserve">• Рейлинг предназначен для крепления фасада к задней стенке, а также увеличения высоты боковых стенок выдвижных мебельных ящиков. Рейлинг состоит из трубки, клипсы, защелки и декоративно-защитного кожуха. Трубка представляет собой полое изделие, изготовленное…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Стальное изделие сложной Т-образной формы (габаритные размеры 10,5х10,5х16 мм), применяемое в качестве крепежного и удерживающего элемента для полок мебели (например, в шкафах для инструментов). При установке полки во внутреннем пространстве мебели изделие…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Амортизатор системы устанавливается на плечо накладной мебельной петли, предназначен для обеспечения плавного и бесшумного закрытия мебельного фасада (двери). Состоит из поршневого механизма с 2-мя пружинами (большая и малая пружины) и регулирующего кольца,…</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(9);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Алюминиевая ручка для установки в мебели. Устанавливается по краю изделия (к торцу фасада). Монтируется с помощью саморезов. Служит для удобного открывания мебельных ящиков и дверей. Является мебельной фурнитурой. Размеры: ширина 17,4 мм,…</w:t>
            </w:r>
          </w:p>
          <w:p>
            <w:pPr>
              <w:spacing w:after="60"/>
            </w:pPr>
            <w:r>
              <w:rPr>
                <w:rFonts w:ascii="Arial" w:cs="Arial" w:eastAsia="Arial" w:hAnsi="Arial"/>
                <w:color w:val="5B6472"/>
                <w:sz w:val="17"/>
                <w:szCs w:val="17"/>
              </w:rPr>
              <w:t xml:space="preserve">В соответсвии с ОПИ 1 и 6 ТН ВЭД ЕАЭС</w:t>
            </w:r>
          </w:p>
          <w:p>
            <w:pPr>
              <w:spacing w:after="60"/>
              <w:ind w:left="220" w:hanging="160"/>
            </w:pPr>
            <w:r>
              <w:rPr>
                <w:rFonts w:ascii="Arial" w:cs="Arial" w:eastAsia="Arial" w:hAnsi="Arial"/>
                <w:sz w:val="19"/>
                <w:szCs w:val="19"/>
              </w:rPr>
              <w:t xml:space="preserve">• Беларусь: Защелка магнитная используется в производстве корпусной мебели для удержания мебельных фасадов в закрытом положении. Защелка представляет собой сборное изделие, состоящее из фиксатора (расположенные в пластиковом корпусе с отверстиями для…</w:t>
            </w:r>
          </w:p>
          <w:p>
            <w:pPr>
              <w:spacing w:after="60"/>
            </w:pPr>
            <w:r>
              <w:rPr>
                <w:rFonts w:ascii="Arial" w:cs="Arial" w:eastAsia="Arial" w:hAnsi="Arial"/>
                <w:color w:val="5B6472"/>
                <w:sz w:val="17"/>
                <w:szCs w:val="17"/>
              </w:rPr>
              <w:t xml:space="preserve">В соответствии с ОПИ 1 (примечание 2 в) к разделу XV и примечание 1 ж) к разделу XVI), 3 (б), 5 (б) и 6, пояснения к товарной позиции 8302</w:t>
            </w:r>
          </w:p>
          <w:p>
            <w:pPr>
              <w:spacing w:after="60"/>
              <w:ind w:left="220" w:hanging="160"/>
            </w:pPr>
            <w:r>
              <w:rPr>
                <w:rFonts w:ascii="Arial" w:cs="Arial" w:eastAsia="Arial" w:hAnsi="Arial"/>
                <w:sz w:val="19"/>
                <w:szCs w:val="19"/>
              </w:rPr>
              <w:t xml:space="preserve">• Беларусь: Коробка кронштейна – деталь, предназначенная для соединения подвижных трубных частей механизма трансформации дивана и входящая в состав сборочной единицы «поперечина сложения», которая является жесткой рамой для соединения подвижных частей…</w:t>
            </w:r>
          </w:p>
          <w:p>
            <w:pPr>
              <w:spacing w:after="60"/>
            </w:pPr>
            <w:r>
              <w:rPr>
                <w:rFonts w:ascii="Arial" w:cs="Arial" w:eastAsia="Arial" w:hAnsi="Arial"/>
                <w:color w:val="5B6472"/>
                <w:sz w:val="17"/>
                <w:szCs w:val="17"/>
              </w:rPr>
              <w:t xml:space="preserve">В соответствии с ОПИ 1(примечание 1 г) к группе 94, примечания 2 и 3 к разделу XV) и 6; пояснения к товарным позициям 8302 и 9401</w:t>
            </w:r>
          </w:p>
          <w:p>
            <w:pPr>
              <w:spacing w:after="60"/>
              <w:ind w:left="220" w:hanging="160"/>
            </w:pPr>
            <w:r>
              <w:rPr>
                <w:rFonts w:ascii="Arial" w:cs="Arial" w:eastAsia="Arial" w:hAnsi="Arial"/>
                <w:sz w:val="19"/>
                <w:szCs w:val="19"/>
              </w:rPr>
              <w:t xml:space="preserve">• Беларусь: Кронштейн крепления предназначен для крепления механизма трансформации к каркасу дивана. Кронштейн представляет собой неокрашенное изделие из металла, производимое из стальной полосы методом штамповки и имеющее L-образное поперечное…</w:t>
            </w:r>
          </w:p>
          <w:p>
            <w:pPr>
              <w:spacing w:after="60"/>
            </w:pPr>
            <w:r>
              <w:rPr>
                <w:rFonts w:ascii="Arial" w:cs="Arial" w:eastAsia="Arial" w:hAnsi="Arial"/>
                <w:color w:val="5B6472"/>
                <w:sz w:val="17"/>
                <w:szCs w:val="17"/>
              </w:rPr>
              <w:t xml:space="preserve">В соответствии с ОПИ 1(примечание 1 г) к группе 94, примечания 2 и 3 к разделу XV) и 6; пояснения к товарным позициям 8302 и 9401</w:t>
            </w:r>
          </w:p>
          <w:p>
            <w:pPr>
              <w:spacing w:after="60"/>
              <w:ind w:left="220" w:hanging="160"/>
            </w:pPr>
            <w:r>
              <w:rPr>
                <w:rFonts w:ascii="Arial" w:cs="Arial" w:eastAsia="Arial" w:hAnsi="Arial"/>
                <w:sz w:val="19"/>
                <w:szCs w:val="19"/>
              </w:rPr>
              <w:t xml:space="preserve">• Беларусь: Мебельная фурнитура из оцинкованной стали для монтажа и перемещения выдвижных ящиков, состоит из неподвижной части, выдвижной средней части, концевой выдвижной секции, сепараторов с шариками и доводчика (пружина, газовый поршень).…</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pPr>
            <w:r>
              <w:rPr>
                <w:rFonts w:ascii="Arial" w:cs="Arial" w:eastAsia="Arial" w:hAnsi="Arial"/>
                <w:color w:val="5B6472"/>
                <w:sz w:val="17"/>
                <w:szCs w:val="17"/>
              </w:rPr>
              <w:t xml:space="preserve">Ещё решений: 4,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8302420000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eqzks2dvsg19-vu8td4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keejnqy6zcrbwjomuei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https://imexp.ru/katalog/kod/8302420000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h6gvniz5qyqnhr8qhrcs" Type="http://schemas.openxmlformats.org/officeDocument/2006/relationships/hyperlink" Target="https://docs.eaeunion.org/documents/386/6099/" TargetMode="External"/><Relationship Id="rIdowdl7pwh4gl0qv406wplp" Type="http://schemas.openxmlformats.org/officeDocument/2006/relationships/hyperlink" Target="https://docs.eaeunion.org/documents/386/6099/" TargetMode="External"/><Relationship Id="rIduyxrtycobhr1kjkvxh-nu" Type="http://schemas.openxmlformats.org/officeDocument/2006/relationships/hyperlink" Target="http://publication.pravo.gov.ru/document/0001202308040119" TargetMode="External"/><Relationship Id="rIdvzprkzbk6bjwtlivwi0ey" Type="http://schemas.openxmlformats.org/officeDocument/2006/relationships/hyperlink" Target="https://eur-lex.europa.eu/eli/reg/2014/833/oj/eng" TargetMode="External"/><Relationship Id="rIdoqoepcfy-gydoehnxaol-" Type="http://schemas.openxmlformats.org/officeDocument/2006/relationships/hyperlink" Target="https://www.legislation.gov.uk/uksi/2019/855/contents" TargetMode="External"/><Relationship Id="rIda0aasok3vvevifyxzkjb0" Type="http://schemas.openxmlformats.org/officeDocument/2006/relationships/hyperlink" Target="https://www.ecfr.gov/current/title-15/subtitle-B/chapter-VII/subchapter-C/part-746" TargetMode="External"/><Relationship Id="rId1vxf8hz4iwvtzighok8ao" Type="http://schemas.openxmlformats.org/officeDocument/2006/relationships/hyperlink" Target="http://publication.pravo.gov.ru/document/0001202308040119" TargetMode="External"/><Relationship Id="rIdybp_7sbs1ls1knekqq0j0" Type="http://schemas.openxmlformats.org/officeDocument/2006/relationships/hyperlink" Target="https://docs.eaeunion.org/documents/386/6099/" TargetMode="External"/><Relationship Id="rIdi70vy-as16twkmtitdkpk" Type="http://schemas.openxmlformats.org/officeDocument/2006/relationships/hyperlink" Target="https://docs.eaeunion.org/documents/317/2804/" TargetMode="External"/><Relationship Id="rIdyqyvubqfcclmpbmbcv6nl" Type="http://schemas.openxmlformats.org/officeDocument/2006/relationships/hyperlink" Target="http://publication.pravo.gov.ru/document/0001202411290098" TargetMode="External"/><Relationship Id="rIdns24l5w2cfx3eirik_dn8" Type="http://schemas.openxmlformats.org/officeDocument/2006/relationships/hyperlink" Target="http://publication.pravo.gov.ru/document/0001201805040007" TargetMode="External"/><Relationship Id="rIdihepl1uwhp3enkrthgro9" Type="http://schemas.openxmlformats.org/officeDocument/2006/relationships/hyperlink" Target="https://eec.eaeunion.org/comission/department/deptexreg/tr/bezopMebelProd.php" TargetMode="External"/><Relationship Id="rIdqstydvfwsb2dfg4gohdlq" Type="http://schemas.openxmlformats.org/officeDocument/2006/relationships/hyperlink" Target="https://eec.eaeunion.org/comission/department/deptexreg/tr/bezopDeti.php" TargetMode="External"/><Relationship Id="rId9pbfbnuypkqfkuux9eyst" Type="http://schemas.openxmlformats.org/officeDocument/2006/relationships/hyperlink" Target="https://docs.eaeunion.org/documents/335/4666/" TargetMode="External"/><Relationship Id="rId6-aecz1ourc39l-lqp15t" Type="http://schemas.openxmlformats.org/officeDocument/2006/relationships/hyperlink" Target="http://publication.pravo.gov.ru/document/0001202207190026" TargetMode="External"/><Relationship Id="rIdmeqzks2dvsg19-vu8td4i" Type="http://schemas.openxmlformats.org/officeDocument/2006/relationships/hyperlink" Target="https://docs.eaeunion.org/documents/214/946/" TargetMode="External"/><Relationship Id="rIdnkeejnqy6zcrbwjomueip"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8302 42 000 0</dc:title>
  <dc:creator>IMEXP</dc:creator>
  <cp:lastModifiedBy>Un-named</cp:lastModifiedBy>
  <cp:revision>1</cp:revision>
  <dcterms:created xsi:type="dcterms:W3CDTF">2026-10-27T22:22:21.011Z</dcterms:created>
  <dcterms:modified xsi:type="dcterms:W3CDTF">2026-10-27T22:22:21.011Z</dcterms:modified>
</cp:coreProperties>
</file>

<file path=docProps/custom.xml><?xml version="1.0" encoding="utf-8"?>
<Properties xmlns="http://schemas.openxmlformats.org/officeDocument/2006/custom-properties" xmlns:vt="http://schemas.openxmlformats.org/officeDocument/2006/docPropsVTypes"/>
</file>