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8401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8401 — Реакторы ядерные; тепловыделяющие элементы (твэлы), необлученные, для ядерных реакторов; оборудование и устройства для разделения изотопов</w:t>
            </w:r>
          </w:p>
          <w:p>
            <w:pPr>
              <w:spacing w:after="60"/>
            </w:pPr>
            <w:r>
              <w:rPr>
                <w:rFonts w:ascii="Arial" w:cs="Arial" w:eastAsia="Arial" w:hAnsi="Arial"/>
                <w:color w:val="5B6472"/>
                <w:sz w:val="17"/>
                <w:szCs w:val="17"/>
              </w:rPr>
              <w:t xml:space="preserve">8401 20 — Оборудование и устройства для разделения изотопов, их части</w:t>
            </w:r>
          </w:p>
          <w:p>
            <w:pPr>
              <w:spacing w:after="60"/>
            </w:pPr>
            <w:r>
              <w:rPr>
                <w:rFonts w:ascii="Arial" w:cs="Arial" w:eastAsia="Arial" w:hAnsi="Arial"/>
                <w:color w:val="5B6472"/>
                <w:sz w:val="17"/>
                <w:szCs w:val="17"/>
              </w:rPr>
              <w:t xml:space="preserve">8401 20 00 — Оборудование и устройства для разделения изотопов, их части</w:t>
            </w:r>
          </w:p>
          <w:p>
            <w:pPr>
              <w:spacing w:after="60"/>
            </w:pPr>
            <w:r>
              <w:rPr>
                <w:rFonts w:ascii="Arial" w:cs="Arial" w:eastAsia="Arial" w:hAnsi="Arial"/>
                <w:b/>
                <w:bCs/>
                <w:sz w:val="19"/>
                <w:szCs w:val="19"/>
              </w:rPr>
              <w:t xml:space="preserve">8401 20 000 0 — Оборудование и устройства для разделения изотопов, их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hylqzkkgvvexf07nu7l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a2423uyizci06zefong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w:t>
            </w:r>
            <w:hyperlink w:history="1" r:id="rIds0nys8e_ozqfmchwe6b1x">
              <w:r>
                <w:rPr>
                  <w:rFonts w:ascii="Arial" w:cs="Arial" w:eastAsia="Arial" w:hAnsi="Arial"/>
                  <w:color w:val="1F5FBF"/>
                  <w:sz w:val="19"/>
                  <w:szCs w:val="19"/>
                  <w:u w:val="single"/>
                </w:rPr>
                <w:t xml:space="preserve">Постановление Правительства РФ от 09.03.2022 № 311</w:t>
              </w:r>
            </w:hyperlink>
            <w:r>
              <w:rPr>
                <w:rFonts w:ascii="Arial" w:cs="Arial" w:eastAsia="Arial" w:hAnsi="Arial"/>
                <w:sz w:val="19"/>
                <w:szCs w:val="19"/>
              </w:rPr>
              <w:t xml:space="preserve"> (кроме вывоза в страны ЕАЭС)</w:t>
            </w:r>
          </w:p>
          <w:p>
            <w:pPr>
              <w:spacing w:after="60"/>
              <w:ind w:left="220" w:hanging="160"/>
            </w:pPr>
            <w:r>
              <w:rPr>
                <w:rFonts w:ascii="Arial" w:cs="Arial" w:eastAsia="Arial" w:hAnsi="Arial"/>
                <w:sz w:val="19"/>
                <w:szCs w:val="19"/>
              </w:rPr>
              <w:t xml:space="preserve">• Лицензия или разрешение — </w:t>
            </w:r>
            <w:hyperlink w:history="1" r:id="rId3hmulq5rw-vqfw5zzf4c5">
              <w:r>
                <w:rPr>
                  <w:rFonts w:ascii="Arial" w:cs="Arial" w:eastAsia="Arial" w:hAnsi="Arial"/>
                  <w:color w:val="1F5FBF"/>
                  <w:sz w:val="19"/>
                  <w:szCs w:val="19"/>
                  <w:u w:val="single"/>
                </w:rPr>
                <w:t xml:space="preserve">Постановление Правительства РФ от 09.03.2022 № 312</w:t>
              </w:r>
            </w:hyperlink>
            <w:r>
              <w:rPr>
                <w:rFonts w:ascii="Arial" w:cs="Arial" w:eastAsia="Arial" w:hAnsi="Arial"/>
                <w:sz w:val="19"/>
                <w:szCs w:val="19"/>
              </w:rPr>
              <w:t xml:space="preserve"> (только при вывозе в страны ЕАЭС)</w:t>
            </w:r>
          </w:p>
          <w:p>
            <w:pPr>
              <w:spacing w:after="60"/>
              <w:ind w:left="220" w:hanging="160"/>
            </w:pPr>
            <w:r>
              <w:rPr>
                <w:rFonts w:ascii="Arial" w:cs="Arial" w:eastAsia="Arial" w:hAnsi="Arial"/>
                <w:sz w:val="19"/>
                <w:szCs w:val="19"/>
              </w:rPr>
              <w:t xml:space="preserve">• Разрешение по экспортному контролю — </w:t>
            </w:r>
            <w:hyperlink w:history="1" r:id="rIdqlxvgsfpe9cjtyhcgggwi">
              <w:r>
                <w:rPr>
                  <w:rFonts w:ascii="Arial" w:cs="Arial" w:eastAsia="Arial" w:hAnsi="Arial"/>
                  <w:color w:val="1F5FBF"/>
                  <w:sz w:val="19"/>
                  <w:szCs w:val="19"/>
                  <w:u w:val="single"/>
                </w:rPr>
                <w:t xml:space="preserve">Постановление Правительства РФ от 16.07.2022 № 1286</w:t>
              </w:r>
            </w:hyperlink>
            <w:r>
              <w:rPr>
                <w:rFonts w:ascii="Arial" w:cs="Arial" w:eastAsia="Arial" w:hAnsi="Arial"/>
                <w:sz w:val="19"/>
                <w:szCs w:val="19"/>
              </w:rPr>
              <w:t xml:space="preserve">, пункты 2.1.4.1, 2.1.4.2, 2.2.1.1 и другие (если товар относится к этому виду)</w:t>
            </w:r>
          </w:p>
          <w:p>
            <w:pPr>
              <w:spacing w:after="60"/>
              <w:ind w:left="220" w:hanging="160"/>
            </w:pPr>
            <w:r>
              <w:rPr>
                <w:rFonts w:ascii="Arial" w:cs="Arial" w:eastAsia="Arial" w:hAnsi="Arial"/>
                <w:sz w:val="19"/>
                <w:szCs w:val="19"/>
              </w:rPr>
              <w:t xml:space="preserve">• Разрешение по экспортному контролю — </w:t>
            </w:r>
            <w:hyperlink w:history="1" r:id="rIdyvoontenwciditzjjg3by">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пункты 2.5.1, 2.5.2.1, 2.5.2.1.1.1 и другие (если товар относится к этому виду)</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wjrxl4iotcb4dtluuxg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Отдельные виды товаров — временный запрет на вывоз; Оборудование и устройства для разделения изотопов, их части</w:t>
            </w:r>
          </w:p>
          <w:p>
            <w:pPr>
              <w:spacing w:after="60"/>
            </w:pPr>
            <w:r>
              <w:rPr>
                <w:rFonts w:ascii="Arial" w:cs="Arial" w:eastAsia="Arial" w:hAnsi="Arial"/>
                <w:color w:val="5B6472"/>
                <w:sz w:val="17"/>
                <w:szCs w:val="17"/>
              </w:rPr>
              <w:t xml:space="preserve">Не действует при вывозе в страны ЕАЭС; до 31.12.2027; </w:t>
            </w:r>
            <w:hyperlink w:history="1" r:id="rIdkf3g4eafk8n9ise1zwhby">
              <w:r>
                <w:rPr>
                  <w:rFonts w:ascii="Arial" w:cs="Arial" w:eastAsia="Arial" w:hAnsi="Arial"/>
                  <w:color w:val="1F5FBF"/>
                  <w:sz w:val="17"/>
                  <w:szCs w:val="17"/>
                  <w:u w:val="single"/>
                </w:rPr>
                <w:t xml:space="preserve">Постановление Правительства РФ от 09.03.2022 № 311</w:t>
              </w:r>
            </w:hyperlink>
          </w:p>
          <w:p>
            <w:pPr>
              <w:spacing w:after="60"/>
              <w:ind w:left="220" w:hanging="160"/>
            </w:pPr>
            <w:r>
              <w:rPr>
                <w:rFonts w:ascii="Arial" w:cs="Arial" w:eastAsia="Arial" w:hAnsi="Arial"/>
                <w:sz w:val="19"/>
                <w:szCs w:val="19"/>
              </w:rPr>
              <w:t xml:space="preserve">• нужно разрешение — Промышленная продукция; Оборудование и устройства для разделения изотопов, их части</w:t>
            </w:r>
          </w:p>
          <w:p>
            <w:pPr>
              <w:spacing w:after="60"/>
            </w:pPr>
            <w:r>
              <w:rPr>
                <w:rFonts w:ascii="Arial" w:cs="Arial" w:eastAsia="Arial" w:hAnsi="Arial"/>
                <w:color w:val="5B6472"/>
                <w:sz w:val="17"/>
                <w:szCs w:val="17"/>
              </w:rPr>
              <w:t xml:space="preserve">Только при вывозе в страны ЕАЭС; до 31.12.2027; </w:t>
            </w:r>
            <w:hyperlink w:history="1" r:id="rIdc8ccidvbadp-zrvm0zcmx">
              <w:r>
                <w:rPr>
                  <w:rFonts w:ascii="Arial" w:cs="Arial" w:eastAsia="Arial" w:hAnsi="Arial"/>
                  <w:color w:val="1F5FBF"/>
                  <w:sz w:val="17"/>
                  <w:szCs w:val="17"/>
                  <w:u w:val="single"/>
                </w:rPr>
                <w:t xml:space="preserve">Постановление Правительства РФ от 09.03.2022 № 312</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2.1.4.1 (также в разделе «материалы»): Мишенные сборки, изготовленные из лития, обогащенного изотопом литий-6 ( &lt;6&gt;Li), или содержащие литий, обогащенный изотопом литий-6 ( &lt;6&gt;Li), специально разработанные для производства трития путем облучения, включая облучение в ядерном реакторе</w:t>
            </w:r>
          </w:p>
          <w:p>
            <w:pPr>
              <w:spacing w:after="60"/>
              <w:ind w:left="220" w:hanging="160"/>
            </w:pPr>
            <w:r>
              <w:rPr>
                <w:rFonts w:ascii="Arial" w:cs="Arial" w:eastAsia="Arial" w:hAnsi="Arial"/>
                <w:sz w:val="19"/>
                <w:szCs w:val="19"/>
              </w:rPr>
              <w:t xml:space="preserve">• Постановление № 1286, пункт 2.1.4.2 (также в разделе «материалы»): Компоненты, специально разработанные для мишенных сборок, указанных в пункте 2.1.4.1</w:t>
            </w:r>
          </w:p>
          <w:p>
            <w:pPr>
              <w:spacing w:after="60"/>
              <w:ind w:left="220" w:hanging="160"/>
            </w:pPr>
            <w:r>
              <w:rPr>
                <w:rFonts w:ascii="Arial" w:cs="Arial" w:eastAsia="Arial" w:hAnsi="Arial"/>
                <w:sz w:val="19"/>
                <w:szCs w:val="19"/>
              </w:rPr>
              <w:t xml:space="preserve">• Постановление № 1286, пункт 2.2.1.1 (также в разделе «материалы»): Заводы или установки по производству, регенерации, выделению, концентрированию трития или обращению с ним</w:t>
            </w:r>
          </w:p>
          <w:p>
            <w:pPr>
              <w:spacing w:after="60"/>
              <w:ind w:left="220" w:hanging="160"/>
            </w:pPr>
            <w:r>
              <w:rPr>
                <w:rFonts w:ascii="Arial" w:cs="Arial" w:eastAsia="Arial" w:hAnsi="Arial"/>
                <w:sz w:val="19"/>
                <w:szCs w:val="19"/>
              </w:rPr>
              <w:t xml:space="preserve">• Постановление № 1286, пункт 2.2.1.2.1 (также в разделе «материалы»): Устройства для охлаждения водородом или гелием, способные охлаждать до 23 К (-250 град. C) или ниже, с мощностью теплоотвода более 150 Вт</w:t>
            </w:r>
          </w:p>
          <w:p>
            <w:pPr>
              <w:spacing w:after="60"/>
              <w:ind w:left="220" w:hanging="160"/>
            </w:pPr>
            <w:r>
              <w:rPr>
                <w:rFonts w:ascii="Arial" w:cs="Arial" w:eastAsia="Arial" w:hAnsi="Arial"/>
                <w:sz w:val="19"/>
                <w:szCs w:val="19"/>
              </w:rPr>
              <w:t xml:space="preserve">• Постановление № 1286, пункт 2.2.1.2.2 (также в разделе «материалы»): Системы для хранения или очистки изотопов водорода, использующие гидриды металлов в качестве средств накопления или очистки</w:t>
            </w:r>
          </w:p>
          <w:p>
            <w:pPr>
              <w:spacing w:after="60"/>
              <w:ind w:left="220" w:hanging="160"/>
            </w:pPr>
            <w:r>
              <w:rPr>
                <w:rFonts w:ascii="Arial" w:cs="Arial" w:eastAsia="Arial" w:hAnsi="Arial"/>
                <w:sz w:val="19"/>
                <w:szCs w:val="19"/>
              </w:rPr>
              <w:t xml:space="preserve">• Постановление № 1286, пункт 2.2.2.1 (также в разделе «материалы»): Заводы или установки для разделения изотопов лития</w:t>
            </w:r>
          </w:p>
          <w:p>
            <w:pPr>
              <w:spacing w:after="60"/>
              <w:ind w:left="220" w:hanging="160"/>
            </w:pPr>
            <w:r>
              <w:rPr>
                <w:rFonts w:ascii="Arial" w:cs="Arial" w:eastAsia="Arial" w:hAnsi="Arial"/>
                <w:sz w:val="19"/>
                <w:szCs w:val="19"/>
              </w:rPr>
              <w:t xml:space="preserve">• Постановление № 1286, пункт 2.2.2.2.1 (также в разделе «материалы»): Колонны для обмена жидкость - жидкость с насадками, специально разработанные для амальгам лития</w:t>
            </w:r>
          </w:p>
          <w:p>
            <w:pPr>
              <w:spacing w:after="60"/>
              <w:ind w:left="220" w:hanging="160"/>
            </w:pPr>
            <w:r>
              <w:rPr>
                <w:rFonts w:ascii="Arial" w:cs="Arial" w:eastAsia="Arial" w:hAnsi="Arial"/>
                <w:sz w:val="19"/>
                <w:szCs w:val="19"/>
              </w:rPr>
              <w:t xml:space="preserve">• Постановление № 1286, пункт 2.2.2.2.3 (также в разделе «материалы»): Ячейки для электролиза амальгам лития</w:t>
            </w:r>
          </w:p>
          <w:p>
            <w:pPr>
              <w:spacing w:after="60"/>
              <w:ind w:left="220" w:hanging="160"/>
            </w:pPr>
            <w:r>
              <w:rPr>
                <w:rFonts w:ascii="Arial" w:cs="Arial" w:eastAsia="Arial" w:hAnsi="Arial"/>
                <w:sz w:val="19"/>
                <w:szCs w:val="19"/>
              </w:rPr>
              <w:t xml:space="preserve">• Постановление № 1286, пункт 2.2.2.2.4 (также в разделе «материалы»): Испарители для концентрированного раствора гидрооксида лития</w:t>
            </w:r>
          </w:p>
          <w:p>
            <w:pPr>
              <w:spacing w:after="60"/>
              <w:ind w:left="220" w:hanging="160"/>
            </w:pPr>
            <w:r>
              <w:rPr>
                <w:rFonts w:ascii="Arial" w:cs="Arial" w:eastAsia="Arial" w:hAnsi="Arial"/>
                <w:sz w:val="19"/>
                <w:szCs w:val="19"/>
              </w:rPr>
              <w:t xml:space="preserve">• Постановление № 1286, пункт 2.2.2.3 (также в разделе «материалы»): Системы ионного обмена, специально разработанные для разделения изотопов лития, и специально разработанные для них составные части</w:t>
            </w:r>
          </w:p>
          <w:p>
            <w:pPr>
              <w:spacing w:after="60"/>
              <w:ind w:left="220" w:hanging="160"/>
            </w:pPr>
            <w:r>
              <w:rPr>
                <w:rFonts w:ascii="Arial" w:cs="Arial" w:eastAsia="Arial" w:hAnsi="Arial"/>
                <w:sz w:val="19"/>
                <w:szCs w:val="19"/>
              </w:rPr>
              <w:t xml:space="preserve">• Постановление № 1286, пункт 2.2.2.4 (также в разделе «материалы»): Системы химического обмена (использующие краун-эфиры, лариат-эфиры или криптанды), специально разработанные для разделения изотопов лития, и специально разработанные для них составные части</w:t>
            </w:r>
          </w:p>
          <w:p>
            <w:pPr>
              <w:spacing w:after="60"/>
              <w:ind w:left="220" w:hanging="160"/>
            </w:pPr>
            <w:r>
              <w:rPr>
                <w:rFonts w:ascii="Arial" w:cs="Arial" w:eastAsia="Arial" w:hAnsi="Arial"/>
                <w:sz w:val="19"/>
                <w:szCs w:val="19"/>
              </w:rPr>
              <w:t xml:space="preserve">• Постановление № 1286, пункт 3.2.5 (также в разделе «оборудование и его части для разделения изотопов урана»): Электромагнитные сепараторы изотопов, сконструированные для работы с одним или несколькими источниками ионов либо оборудованные ими, способные обеспечивать суммарный ток пучка ионов 50 мА или более</w:t>
            </w:r>
          </w:p>
          <w:p>
            <w:pPr>
              <w:spacing w:after="60"/>
              <w:ind w:left="220" w:hanging="160"/>
            </w:pPr>
            <w:r>
              <w:rPr>
                <w:rFonts w:ascii="Arial" w:cs="Arial" w:eastAsia="Arial" w:hAnsi="Arial"/>
                <w:sz w:val="19"/>
                <w:szCs w:val="19"/>
              </w:rPr>
              <w:t xml:space="preserve">• Постановление № 1286, пункт 4.1.1 (также в разделе «оборудование, связанное с установками по производству тяжелой воды»): Специализированные сборки, которые могут быть использованы для отделения тяжелой воды от обычной, имеющие обе следующие характеристики: а) изготовленные из сетки из фосфористой бронзы, химически обработанной с целью улучшения смачиваемости; и б) разработанные для применения в вакуумных…</w:t>
            </w:r>
          </w:p>
          <w:p>
            <w:pPr>
              <w:spacing w:after="60"/>
              <w:ind w:left="220" w:hanging="160"/>
            </w:pPr>
            <w:r>
              <w:rPr>
                <w:rFonts w:ascii="Arial" w:cs="Arial" w:eastAsia="Arial" w:hAnsi="Arial"/>
                <w:sz w:val="19"/>
                <w:szCs w:val="19"/>
              </w:rPr>
              <w:t xml:space="preserve">• Постановление № 1286, пункт 4.2.1 (также в разделе «оборудование, связанное с установками по производству тяжелой воды»): Водородные криогенные дистилляционные колонны, имеющие все следующие характеристики: 1) внутреннюю температуру от 35 К (-238 град. C) и ниже; 2) разработанные для эксплуатации при внутреннем давлении от 0,5 МПа до 5 МПа; 3) изготовленные из: а) нержавеющей стали серии 300 с низким содержанием серы…</w:t>
            </w:r>
          </w:p>
          <w:p>
            <w:pPr>
              <w:spacing w:after="60"/>
              <w:ind w:left="220" w:hanging="160"/>
            </w:pPr>
            <w:r>
              <w:rPr>
                <w:rFonts w:ascii="Arial" w:cs="Arial" w:eastAsia="Arial" w:hAnsi="Arial"/>
                <w:sz w:val="19"/>
                <w:szCs w:val="19"/>
              </w:rPr>
              <w:t xml:space="preserve">• Постановление № 1285, пункт 2.5.1 (также в разделе «оборудование и неядерные материалы»): Установки для разделения изотопов природного урана, обедненного урана или специального расщепляющегося материала</w:t>
            </w:r>
          </w:p>
          <w:p>
            <w:pPr>
              <w:spacing w:after="60"/>
              <w:ind w:left="220" w:hanging="160"/>
            </w:pPr>
            <w:r>
              <w:rPr>
                <w:rFonts w:ascii="Arial" w:cs="Arial" w:eastAsia="Arial" w:hAnsi="Arial"/>
                <w:sz w:val="19"/>
                <w:szCs w:val="19"/>
              </w:rPr>
              <w:t xml:space="preserve">• Постановление № 1285, пункт 2.5.2.1 (также в разделе «оборудование и неядерные материалы»): Специально разработанные или подготовленные газовые центрифуги и узлы и компоненты для использования в газовых центрифугах</w:t>
            </w:r>
          </w:p>
          <w:p>
            <w:pPr>
              <w:spacing w:after="60"/>
              <w:ind w:left="220" w:hanging="160"/>
            </w:pPr>
            <w:r>
              <w:rPr>
                <w:rFonts w:ascii="Arial" w:cs="Arial" w:eastAsia="Arial" w:hAnsi="Arial"/>
                <w:sz w:val="19"/>
                <w:szCs w:val="19"/>
              </w:rPr>
              <w:t xml:space="preserve">• Постановление № 1285, пункт 2.5.2.1.1.1 (также в разделе «оборудование и неядерные материалы»): Полные роторные сборки. Тонкостенные цилиндры или ряд соединенных между собой тонкостенных цилиндров, изготовленных из одного или более материалов с высоким значением отношения прочности к плотности, указанных в пояснительных замечаниях к пунктам 2.5.2.1.1 - 2.5.2.1.1.5. Соединение цилиндров между…</w:t>
            </w:r>
          </w:p>
          <w:p>
            <w:pPr>
              <w:spacing w:after="60"/>
              <w:ind w:left="220" w:hanging="160"/>
            </w:pPr>
            <w:r>
              <w:rPr>
                <w:rFonts w:ascii="Arial" w:cs="Arial" w:eastAsia="Arial" w:hAnsi="Arial"/>
                <w:sz w:val="19"/>
                <w:szCs w:val="19"/>
              </w:rPr>
              <w:t xml:space="preserve">• Постановление № 1285, пункт 2.5.2.1.1.2 (также в разделе «оборудование и неядерные материалы»): Роторные трубы. Специально разработанные или подготовленные тонкостенные цилиндры с толщиной стенки 12 мм или менее, диаметром от 75 мм до 650 мм, изготовленные из одного или более материалов, имеющих высокое значение отношения прочности к плотности, указанных в пояснительных замечаниях к пунктам…</w:t>
            </w:r>
          </w:p>
          <w:p>
            <w:pPr>
              <w:spacing w:after="60"/>
              <w:ind w:left="220" w:hanging="160"/>
            </w:pPr>
            <w:r>
              <w:rPr>
                <w:rFonts w:ascii="Arial" w:cs="Arial" w:eastAsia="Arial" w:hAnsi="Arial"/>
                <w:sz w:val="19"/>
                <w:szCs w:val="19"/>
              </w:rPr>
              <w:t xml:space="preserve">• Постановление № 1285, пункт 2.5.2.1.1.3 (также в разделе «оборудование и неядерные материалы»): Кольца или сильфоны. Специально разработанные или подготовленные компоненты для создания местной опоры для роторной трубы или соединения ряда роторных труб. Сильфоны представляют собой короткие цилиндры с толщиной стенки 3 мм или менее, диаметром от 75 мм до 650 мм, имеющих один гофр и…</w:t>
            </w:r>
          </w:p>
          <w:p>
            <w:pPr>
              <w:spacing w:after="60"/>
              <w:ind w:left="220" w:hanging="160"/>
            </w:pPr>
            <w:r>
              <w:rPr>
                <w:rFonts w:ascii="Arial" w:cs="Arial" w:eastAsia="Arial" w:hAnsi="Arial"/>
                <w:sz w:val="19"/>
                <w:szCs w:val="19"/>
              </w:rPr>
              <w:t xml:space="preserve">• Постановление № 1285, пункт 2.5.2.1.1.4 (также в разделе «оборудование и неядерные материалы»): Перегородки. Специально разработанные или подготовленные компоненты в форме диска диаметром от 75 мм до 650 мм для установки внутри роторной трубы центрифуги с целью изолировать выпускную камеру от главной разделительной камеры и в некоторых случаях для улучшения циркуляции газа UF 6 внутри главной…</w:t>
            </w:r>
          </w:p>
          <w:p>
            <w:pPr>
              <w:spacing w:after="60"/>
              <w:ind w:left="220" w:hanging="160"/>
            </w:pPr>
            <w:r>
              <w:rPr>
                <w:rFonts w:ascii="Arial" w:cs="Arial" w:eastAsia="Arial" w:hAnsi="Arial"/>
                <w:sz w:val="19"/>
                <w:szCs w:val="19"/>
              </w:rPr>
              <w:t xml:space="preserve">• Постановление № 1285, пункт 2.5.2.1.1.5 (также в разделе «оборудование и неядерные материалы»): Верхние (нижние) крышки. Специально разработанные или подготовленные компоненты в форме диска диаметром от 75 мм до 650 мм для точного соответствия диаметру концов роторной трубы и возможности удерживать UF 6 внутри ее. Эти компоненты используются для того, чтобы поддерживать, удерживать или…</w:t>
            </w:r>
          </w:p>
          <w:p>
            <w:pPr>
              <w:spacing w:after="60"/>
              <w:ind w:left="220" w:hanging="160"/>
            </w:pPr>
            <w:r>
              <w:rPr>
                <w:rFonts w:ascii="Arial" w:cs="Arial" w:eastAsia="Arial" w:hAnsi="Arial"/>
                <w:sz w:val="19"/>
                <w:szCs w:val="19"/>
              </w:rPr>
              <w:t xml:space="preserve">• Постановление № 1285, пункт 2.5.2.1.2.5 (также в разделе «оборудование и неядерные материалы»): Корпуса/приемники центрифуги. Специально разработанные или подготовленные компоненты для размещения в них сборки роторной трубы газовой центрифуги. Корпус состоит из жестокого цилиндра с толщиной стенки до 30 мм с прецизионно обработанными концами для установки подшипников и с одним или несколькими…</w:t>
            </w:r>
          </w:p>
          <w:p>
            <w:pPr>
              <w:spacing w:after="60"/>
              <w:ind w:left="220" w:hanging="160"/>
            </w:pPr>
            <w:r>
              <w:rPr>
                <w:rFonts w:ascii="Arial" w:cs="Arial" w:eastAsia="Arial" w:hAnsi="Arial"/>
                <w:sz w:val="19"/>
                <w:szCs w:val="19"/>
              </w:rPr>
              <w:t xml:space="preserve">• Постановление № 1285, пункт 2.5.2.1.2.6 (также в разделе «оборудование и неядерные материалы»): Ловушки. Специально разработанные или подготовленные трубки для извлечения газа UF 6 из роторной трубы по методу трубки Пито (то есть с отверстием, направленным на круговой поток газа в роторной трубе, например, посредством изгиба конца радиально расположенной трубки), которые можно прикрепить к…</w:t>
            </w:r>
          </w:p>
          <w:p>
            <w:pPr>
              <w:spacing w:after="60"/>
              <w:ind w:left="220" w:hanging="160"/>
            </w:pPr>
            <w:r>
              <w:rPr>
                <w:rFonts w:ascii="Arial" w:cs="Arial" w:eastAsia="Arial" w:hAnsi="Arial"/>
                <w:sz w:val="19"/>
                <w:szCs w:val="19"/>
              </w:rPr>
              <w:t xml:space="preserve">• Постановление № 1285, пункт 2.5.2.2.1 (также в разделе «оборудование и неядерные материалы»): Системы подачи/системы отвода "продукта" и "хвостов". Специально разработанные или подготовленные технологические системы или оборудование для обогатительных заводов, изготовленное или защищенное из стойких к UF 6 материалов, включающие:</w:t>
            </w:r>
          </w:p>
          <w:p>
            <w:pPr>
              <w:spacing w:after="60"/>
              <w:ind w:left="220" w:hanging="160"/>
            </w:pPr>
            <w:r>
              <w:rPr>
                <w:rFonts w:ascii="Arial" w:cs="Arial" w:eastAsia="Arial" w:hAnsi="Arial"/>
                <w:sz w:val="19"/>
                <w:szCs w:val="19"/>
              </w:rPr>
              <w:t xml:space="preserve">• Постановление № 1285, пункт 2.5.2.2.2 (также в разделе «оборудование и неядерные материалы»): Системы коллекторных трубопроводов газоцентрифужных каскадов. Специально разработанные или подготовленные системы трубопроводов и коллекторов для удержания UF 6 внутри центрифужных каскадов. Эта сеть трубопроводов обычно представляет собой систему с "тройным" коллектором, и каждая центрифуга…</w:t>
            </w:r>
          </w:p>
          <w:p>
            <w:pPr>
              <w:spacing w:after="60"/>
              <w:ind w:left="220" w:hanging="160"/>
            </w:pPr>
            <w:r>
              <w:rPr>
                <w:rFonts w:ascii="Arial" w:cs="Arial" w:eastAsia="Arial" w:hAnsi="Arial"/>
                <w:sz w:val="19"/>
                <w:szCs w:val="19"/>
              </w:rPr>
              <w:t xml:space="preserve">• Постановление № 1285, пункт 2.5.2.3.1.1 (также в разделе «оборудование и неядерные материалы»): Специально разработанные или подготовленные тонкие пористые фильтры с размером пор 10 - 100 нм, толщиной 5 мм или меньше, а для трубчатых форм диаметром 25 мм или меньше, изготовленные из металлических, полимерных или керамических материалов, стойких к коррозии, вызываемой UF 6 (см. пояснительное…</w:t>
            </w:r>
          </w:p>
          <w:p>
            <w:pPr>
              <w:spacing w:after="60"/>
              <w:ind w:left="220" w:hanging="160"/>
            </w:pPr>
            <w:r>
              <w:rPr>
                <w:rFonts w:ascii="Arial" w:cs="Arial" w:eastAsia="Arial" w:hAnsi="Arial"/>
                <w:sz w:val="19"/>
                <w:szCs w:val="19"/>
              </w:rPr>
              <w:t xml:space="preserve">• Постановление № 1285, пункт 2.5.2.4.1 (также в разделе «оборудование и неядерные материалы»): Системы подачи/системы отвода "продукта" и "хвостов". Специально разработанные или подготовленные технологические системы или оборудование для обогатительных заводов, изготовленные или защищенные из стойких к UF 6 материалов, включая:</w:t>
            </w:r>
          </w:p>
          <w:p>
            <w:pPr>
              <w:spacing w:after="60"/>
              <w:ind w:left="220" w:hanging="160"/>
            </w:pPr>
            <w:r>
              <w:rPr>
                <w:rFonts w:ascii="Arial" w:cs="Arial" w:eastAsia="Arial" w:hAnsi="Arial"/>
                <w:sz w:val="19"/>
                <w:szCs w:val="19"/>
              </w:rPr>
              <w:t xml:space="preserve">• Постановление № 1285, пункт 2.5.2.4.2 (также в разделе «оборудование и неядерные материалы»): Системы коллекторных трубопроводов. Специально разработанные или подготовленные системы трубопроводов и системы коллекторов для удержания UF 6 внутри газодиффузионных каскадов.</w:t>
            </w:r>
          </w:p>
          <w:p>
            <w:pPr>
              <w:spacing w:after="60"/>
              <w:ind w:left="220" w:hanging="160"/>
            </w:pPr>
            <w:r>
              <w:rPr>
                <w:rFonts w:ascii="Arial" w:cs="Arial" w:eastAsia="Arial" w:hAnsi="Arial"/>
                <w:sz w:val="19"/>
                <w:szCs w:val="19"/>
              </w:rPr>
              <w:t xml:space="preserve">• Постановление № 1285, пункт 2.5.2.4.3.1 (также в разделе «оборудование и неядерные материалы»): Специально разработанные или подготовленные вакуумные магистрали, вакуумные коллекторы и вакуумные насосы производительностью 5 куб. метров в минуту или более</w:t>
            </w:r>
          </w:p>
          <w:p>
            <w:pPr>
              <w:spacing w:after="60"/>
              <w:ind w:left="220" w:hanging="160"/>
            </w:pPr>
            <w:r>
              <w:rPr>
                <w:rFonts w:ascii="Arial" w:cs="Arial" w:eastAsia="Arial" w:hAnsi="Arial"/>
                <w:sz w:val="19"/>
                <w:szCs w:val="19"/>
              </w:rPr>
              <w:t xml:space="preserve">• Постановление № 1285, пункт 2.5.2.5.1 (также в разделе «оборудование и неядерные материалы»): Разделительные сопла и их сборки. Специально разработанные или подготовленные разделительные сопла, состоящие из щелевидных изогнутых каналов с радиусом изгиба менее 1 мм, коррозионно-стойких к UF 6 и имеющих внутреннюю режущую кромку, которая разделяет протекающий через сопло газ на две фракции</w:t>
            </w:r>
          </w:p>
          <w:p>
            <w:pPr>
              <w:spacing w:after="60"/>
              <w:ind w:left="220" w:hanging="160"/>
            </w:pPr>
            <w:r>
              <w:rPr>
                <w:rFonts w:ascii="Arial" w:cs="Arial" w:eastAsia="Arial" w:hAnsi="Arial"/>
                <w:sz w:val="19"/>
                <w:szCs w:val="19"/>
              </w:rPr>
              <w:t xml:space="preserve">• Постановление № 1285, пункт 2.5.2.5.2 (также в разделе «оборудование и неядерные материалы»): Вихревые трубки и их сборки. Специально разработанные или подготовленные вихревые трубки, имеющие цилиндрическую или конусообразную форму, изготовленные из коррозионно-стойких к UF 6 материалов или защищенные покрытием из таких материалов и имеющие одно или более тангенциальное входное отверстие.…</w:t>
            </w:r>
          </w:p>
          <w:p>
            <w:pPr>
              <w:spacing w:after="60"/>
              <w:ind w:left="220" w:hanging="160"/>
            </w:pPr>
            <w:r>
              <w:rPr>
                <w:rFonts w:ascii="Arial" w:cs="Arial" w:eastAsia="Arial" w:hAnsi="Arial"/>
                <w:sz w:val="19"/>
                <w:szCs w:val="19"/>
              </w:rPr>
              <w:t xml:space="preserve">• Постановление № 1285, пункт 2.5.2.5.6 (также в разделе «оборудование и неядерные материалы»): Кожухи разделяющих элементов. Специально разработанные или подготовленные кожухи, изготовленные из коррозионно-стойких к UF 6 материалов или защищенные покрытием из таких материалов, для помещения в них вихревых трубок или разделительных сопел</w:t>
            </w:r>
          </w:p>
          <w:p>
            <w:pPr>
              <w:spacing w:after="60"/>
              <w:ind w:left="220" w:hanging="160"/>
            </w:pPr>
            <w:r>
              <w:rPr>
                <w:rFonts w:ascii="Arial" w:cs="Arial" w:eastAsia="Arial" w:hAnsi="Arial"/>
                <w:sz w:val="19"/>
                <w:szCs w:val="19"/>
              </w:rPr>
              <w:t xml:space="preserve">• Постановление № 1285, пункт 2.5.2.5.8 (также в разделе «оборудование и неядерные материалы»): Системы коллекторных трубопроводов. Специально разработанные или подготовленные системы коллекторных трубопроводов, изготовленные из коррозионно-стойких к UF 6 материалов или защищенные покрытием из таких материалов, для удержания UF 6 внутри аэродинамических каскадов. Эта сеть трубопроводов…</w:t>
            </w:r>
          </w:p>
          <w:p>
            <w:pPr>
              <w:spacing w:after="60"/>
              <w:ind w:left="220" w:hanging="160"/>
            </w:pPr>
            <w:r>
              <w:rPr>
                <w:rFonts w:ascii="Arial" w:cs="Arial" w:eastAsia="Arial" w:hAnsi="Arial"/>
                <w:sz w:val="19"/>
                <w:szCs w:val="19"/>
              </w:rPr>
              <w:t xml:space="preserve">• Постановление № 1285, пункт 2.5.2.5.9.1 (также в разделе «оборудование и неядерные материалы»): Специально разработанные или подготовленные вакуумные системы, состоящие из вакуумных магистралей, вакуумных коллекторов и вакуумных насосов и предназначенные для работы в содержащих UF 6 газовых средах</w:t>
            </w:r>
          </w:p>
          <w:p>
            <w:pPr>
              <w:spacing w:after="60"/>
              <w:ind w:left="220" w:hanging="160"/>
            </w:pPr>
            <w:r>
              <w:rPr>
                <w:rFonts w:ascii="Arial" w:cs="Arial" w:eastAsia="Arial" w:hAnsi="Arial"/>
                <w:sz w:val="19"/>
                <w:szCs w:val="19"/>
              </w:rPr>
              <w:t xml:space="preserve">• Постановление № 1285, пункт 2.5.2.6.1 (также в разделе «оборудование и неядерные материалы»): Жидкостно-жидкостные обменные колонны (химический обмен). Специально разработанные или подготовленные противоточные жидкостно-жидкостные обменные колонны, имеющие механический силовой ввод для уранового обогащения с использованием процесса химического обмена. Для коррозионной устойчивости к…</w:t>
            </w:r>
          </w:p>
          <w:p>
            <w:pPr>
              <w:spacing w:after="60"/>
              <w:ind w:left="220" w:hanging="160"/>
            </w:pPr>
            <w:r>
              <w:rPr>
                <w:rFonts w:ascii="Arial" w:cs="Arial" w:eastAsia="Arial" w:hAnsi="Arial"/>
                <w:sz w:val="19"/>
                <w:szCs w:val="19"/>
              </w:rPr>
              <w:t xml:space="preserve">• Постановление № 1285, пункт 2.5.2.6.2 (также в разделе «оборудование и неядерные материалы»): Центрифужные жидкостно-жидкостные контактные фильтры (химический обмен). Специально разработанные или подготовленные центрифужные жидкостно-жидкостные контактные фильтры для обогащения урана с использованием процесса химического обмена. В таких фильтрах используется вращение для получения и жидких…</w:t>
            </w:r>
          </w:p>
          <w:p>
            <w:pPr>
              <w:spacing w:after="60"/>
              <w:ind w:left="220" w:hanging="160"/>
            </w:pPr>
            <w:r>
              <w:rPr>
                <w:rFonts w:ascii="Arial" w:cs="Arial" w:eastAsia="Arial" w:hAnsi="Arial"/>
                <w:sz w:val="19"/>
                <w:szCs w:val="19"/>
              </w:rPr>
              <w:t xml:space="preserve">• Постановление № 1285, пункт 2.5.2.6.3.1 (также в разделе «оборудование и неядерные материалы»): Специально разработанные или подготовленные ячейки электрохимического восстановления для восстановления урана из одного валентного состояния в другое для обогащения урана с использованием процесса химического обмена. Материалы ячеек, находящиеся в контакте с технологическими растворами, должны быть…</w:t>
            </w:r>
          </w:p>
          <w:p>
            <w:pPr>
              <w:spacing w:after="60"/>
              <w:ind w:left="220" w:hanging="160"/>
            </w:pPr>
            <w:r>
              <w:rPr>
                <w:rFonts w:ascii="Arial" w:cs="Arial" w:eastAsia="Arial" w:hAnsi="Arial"/>
                <w:sz w:val="19"/>
                <w:szCs w:val="19"/>
              </w:rPr>
              <w:t xml:space="preserve">• Постановление № 1285, пункт 2.5.2.6.3.2 (также в разделе «оборудование и неядерные материалы»): Специально разработанные или подготовленные системы для извлечения U +4 из органического потока, регулирования концентрации кислоты и для заполнения ячеек электрохимического восстановления на производственном выходе каскада</w:t>
            </w:r>
          </w:p>
          <w:p>
            <w:pPr>
              <w:spacing w:after="60"/>
              <w:ind w:left="220" w:hanging="160"/>
            </w:pPr>
            <w:r>
              <w:rPr>
                <w:rFonts w:ascii="Arial" w:cs="Arial" w:eastAsia="Arial" w:hAnsi="Arial"/>
                <w:sz w:val="19"/>
                <w:szCs w:val="19"/>
              </w:rPr>
              <w:t xml:space="preserve">• Постановление № 1285, пункт 2.5.2.6.4 (также в разделе «оборудование и неядерные материалы»): Системы подготовки питания (химический обмен). Специально разработанные или подготовленные системы для производства питательных растворов хлорида урана высокой чистоты для химических обменных установок разделения изотопов природного урана, обедненного урана или специального расщепляющегося материала</w:t>
            </w:r>
          </w:p>
          <w:p>
            <w:pPr>
              <w:spacing w:after="60"/>
              <w:ind w:left="220" w:hanging="160"/>
            </w:pPr>
            <w:r>
              <w:rPr>
                <w:rFonts w:ascii="Arial" w:cs="Arial" w:eastAsia="Arial" w:hAnsi="Arial"/>
                <w:sz w:val="19"/>
                <w:szCs w:val="19"/>
              </w:rPr>
              <w:t xml:space="preserve">• Постановление № 1285, пункт 2.5.2.6.5 (также в разделе «оборудование и неядерные материалы»): Системы окисления урана (химический обмен) Специально разработанные или подготовленные системы для окисления U +3 в U +4 для возвращения в каскад разделения изотопов природного урана, обедненного урана или специального расщепляющегося материала в процессе химического обмена</w:t>
            </w:r>
          </w:p>
          <w:p>
            <w:pPr>
              <w:spacing w:after="60"/>
              <w:ind w:left="220" w:hanging="160"/>
            </w:pPr>
            <w:r>
              <w:rPr>
                <w:rFonts w:ascii="Arial" w:cs="Arial" w:eastAsia="Arial" w:hAnsi="Arial"/>
                <w:sz w:val="19"/>
                <w:szCs w:val="19"/>
              </w:rPr>
              <w:t xml:space="preserve">• Постановление № 1285, пункт 2.5.2.6.8.1 (также в разделе «оборудование и неядерные материалы»): Специально разработанные или подготовленные системы химического или электрохимического восстановления для регенерации реагента (реагентов) химического восстановления, используемого в каскадах ионообменного обогащения урана</w:t>
            </w:r>
          </w:p>
          <w:p>
            <w:pPr>
              <w:spacing w:after="60"/>
              <w:ind w:left="220" w:hanging="160"/>
            </w:pPr>
            <w:r>
              <w:rPr>
                <w:rFonts w:ascii="Arial" w:cs="Arial" w:eastAsia="Arial" w:hAnsi="Arial"/>
                <w:sz w:val="19"/>
                <w:szCs w:val="19"/>
              </w:rPr>
              <w:t xml:space="preserve">• Постановление № 1285, пункт 2.5.2.6.8.2 (также в разделе «оборудование и неядерные материалы»): Специально разработанные или подготовленные системы химического или электрохимического окисления для регенерации реагента (реагентов) химического окисления, используемого в каскадах ионообменного обогащения урана</w:t>
            </w:r>
          </w:p>
          <w:p>
            <w:pPr>
              <w:spacing w:after="60"/>
              <w:ind w:left="220" w:hanging="160"/>
            </w:pPr>
            <w:r>
              <w:rPr>
                <w:rFonts w:ascii="Arial" w:cs="Arial" w:eastAsia="Arial" w:hAnsi="Arial"/>
                <w:sz w:val="19"/>
                <w:szCs w:val="19"/>
              </w:rPr>
              <w:t xml:space="preserve">• Постановление № 1285, пункт 2.5.2.7.1 (также в разделе «оборудование и неядерные материалы»): Системы испарения урана (технологии разделения атомарных паров). Специально предназначенные или подготовленные системы выпаривания металлического урана, используемые для лазерного обогащения</w:t>
            </w:r>
          </w:p>
          <w:p>
            <w:pPr>
              <w:spacing w:after="60"/>
              <w:ind w:left="220" w:hanging="160"/>
            </w:pPr>
            <w:r>
              <w:rPr>
                <w:rFonts w:ascii="Arial" w:cs="Arial" w:eastAsia="Arial" w:hAnsi="Arial"/>
                <w:sz w:val="19"/>
                <w:szCs w:val="19"/>
              </w:rPr>
              <w:t xml:space="preserve">• Постановление № 1285, пункт 2.5.2.7.11 (также в разделе «оборудование и неядерные материалы»): Системы подачи/системы отвода "продукта" и "хвостов" (технологии молекулярного разделения). Специально разработанные или подготовленные технологические системы или оборудование для обогатительных установок, изготовленные из коррозионно-стойких к UF 6 материалов или защищенные покрытием из таких…</w:t>
            </w:r>
          </w:p>
          <w:p>
            <w:pPr>
              <w:spacing w:after="60"/>
              <w:ind w:left="220" w:hanging="160"/>
            </w:pPr>
            <w:r>
              <w:rPr>
                <w:rFonts w:ascii="Arial" w:cs="Arial" w:eastAsia="Arial" w:hAnsi="Arial"/>
                <w:sz w:val="19"/>
                <w:szCs w:val="19"/>
              </w:rPr>
              <w:t xml:space="preserve">• Постановление № 1285, пункт 2.5.2.7.13 (также в разделе «оборудование и неядерные материалы»): Лазерные системы. Специально разработанные или подготовленные лазеры или лазерные системы для разделения изотопов природного урана, обедненного урана или специального расщепляющегося материала</w:t>
            </w:r>
          </w:p>
          <w:p>
            <w:pPr>
              <w:spacing w:after="60"/>
              <w:ind w:left="220" w:hanging="160"/>
            </w:pPr>
            <w:r>
              <w:rPr>
                <w:rFonts w:ascii="Arial" w:cs="Arial" w:eastAsia="Arial" w:hAnsi="Arial"/>
                <w:sz w:val="19"/>
                <w:szCs w:val="19"/>
              </w:rPr>
              <w:t xml:space="preserve">• Постановление № 1285, пункт 2.5.2.7.2 (также в разделе «оборудование и неядерные материалы»): Системы и компоненты для обращения с металлическим ураном в жидкой или парообразной форме (технологии разделения атомарных паров). Специально разработанные или подготовленные системы обращения с расплавленным ураном, расплавленными урановыми сплавами или парами металлического урана и их компоненты…</w:t>
            </w:r>
          </w:p>
          <w:p>
            <w:pPr>
              <w:spacing w:after="60"/>
              <w:ind w:left="220" w:hanging="160"/>
            </w:pPr>
            <w:r>
              <w:rPr>
                <w:rFonts w:ascii="Arial" w:cs="Arial" w:eastAsia="Arial" w:hAnsi="Arial"/>
                <w:sz w:val="19"/>
                <w:szCs w:val="19"/>
              </w:rPr>
              <w:t xml:space="preserve">• Постановление № 1285, пункт 2.5.2.7.4 (также в разделе «оборудование и неядерные материалы»): Кожухи разделительного модуля (технологии разделения атомарных паров). Специально разработанные или подготовленные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p>
            <w:pPr>
              <w:spacing w:after="60"/>
              <w:ind w:left="220" w:hanging="160"/>
            </w:pPr>
            <w:r>
              <w:rPr>
                <w:rFonts w:ascii="Arial" w:cs="Arial" w:eastAsia="Arial" w:hAnsi="Arial"/>
                <w:sz w:val="19"/>
                <w:szCs w:val="19"/>
              </w:rPr>
              <w:t xml:space="preserve">• Постановление № 1285, пункт 2.5.2.7.5 (также в разделе «оборудование и неядерные материалы»): Сверхзвуковые расширительные сопла (технологии молекулярного разделения). Специально разработанные или подготовленные сверхзвуковые расширительные сопла для охлаждения смесей UF 6 и несущего газа до 150 K (-123°C) или ниже и коррозионно-стойкие к UF 6</w:t>
            </w:r>
          </w:p>
          <w:p>
            <w:pPr>
              <w:spacing w:after="60"/>
              <w:ind w:left="220" w:hanging="160"/>
            </w:pPr>
            <w:r>
              <w:rPr>
                <w:rFonts w:ascii="Arial" w:cs="Arial" w:eastAsia="Arial" w:hAnsi="Arial"/>
                <w:sz w:val="19"/>
                <w:szCs w:val="19"/>
              </w:rPr>
              <w:t xml:space="preserve">• Постановление № 1285, пункт 2.5.2.7.6 (также в разделе «оборудование и неядерные материалы»): Коллекторы "продукта" или "хвостов" (методы лазерного обогащения). Специально разработанные или подготовленные компоненты или устройства сбора уранового "продукта" и "хвостов" в результате воздействия лазерного излучения</w:t>
            </w:r>
          </w:p>
          <w:p>
            <w:pPr>
              <w:spacing w:after="60"/>
              <w:ind w:left="220" w:hanging="160"/>
            </w:pPr>
            <w:r>
              <w:rPr>
                <w:rFonts w:ascii="Arial" w:cs="Arial" w:eastAsia="Arial" w:hAnsi="Arial"/>
                <w:sz w:val="19"/>
                <w:szCs w:val="19"/>
              </w:rPr>
              <w:t xml:space="preserve">• Постановление № 1285, пункт 2.5.2.7.9 (также в разделе «оборудование и неядерные материалы»): Системы фторирования (технологии молекулярного разделения). Специально разработанные или подготовленные системы для фторирования UF 5 (в твердом состоянии) в UF 6 (газ)</w:t>
            </w:r>
          </w:p>
          <w:p>
            <w:pPr>
              <w:spacing w:after="60"/>
              <w:ind w:left="220" w:hanging="160"/>
            </w:pPr>
            <w:r>
              <w:rPr>
                <w:rFonts w:ascii="Arial" w:cs="Arial" w:eastAsia="Arial" w:hAnsi="Arial"/>
                <w:sz w:val="19"/>
                <w:szCs w:val="19"/>
              </w:rPr>
              <w:t xml:space="preserve">• Постановление № 1285, пункт 2.5.2.8.5 (также в разделе «оборудование и неядерные материалы»): Кожухи разделительного модуля. Специально разработанные или подготовленные для использования на обогатительных установках с плазменным разделением цилиндрические камеры для помещения в них источника урановой плазмы, энергетического соленоида радиочастоты и коллекторов "продукта" и "хвостов"</w:t>
            </w:r>
          </w:p>
          <w:p>
            <w:pPr>
              <w:spacing w:after="60"/>
              <w:ind w:left="220" w:hanging="160"/>
            </w:pPr>
            <w:r>
              <w:rPr>
                <w:rFonts w:ascii="Arial" w:cs="Arial" w:eastAsia="Arial" w:hAnsi="Arial"/>
                <w:sz w:val="19"/>
                <w:szCs w:val="19"/>
              </w:rPr>
              <w:t xml:space="preserve">• Постановление № 1285, пункт 2.5.2.9.1 (также в разделе «оборудование и неядерные материалы»): Специально разработанные или подготовленные системы для использования на установках электромагнитного обогащения</w:t>
            </w:r>
          </w:p>
          <w:p>
            <w:pPr>
              <w:spacing w:after="60"/>
              <w:ind w:left="220" w:hanging="160"/>
            </w:pPr>
            <w:r>
              <w:rPr>
                <w:rFonts w:ascii="Arial" w:cs="Arial" w:eastAsia="Arial" w:hAnsi="Arial"/>
                <w:sz w:val="19"/>
                <w:szCs w:val="19"/>
              </w:rPr>
              <w:t xml:space="preserve">• Постановление № 1285, пункт 2.5.2.9.2.1 (также в разделе «оборудование и неядерные материалы»): Специально разработанные или подготовленные для разделения изотопов природного урана, обедненного урана или специального расщепляющегося материала электромагнитные сепараторы изотопов и оборудование и компоненты, включающие:</w:t>
            </w:r>
          </w:p>
          <w:p>
            <w:pPr>
              <w:spacing w:after="60"/>
              <w:ind w:left="220" w:hanging="160"/>
            </w:pPr>
            <w:r>
              <w:rPr>
                <w:rFonts w:ascii="Arial" w:cs="Arial" w:eastAsia="Arial" w:hAnsi="Arial"/>
                <w:sz w:val="19"/>
                <w:szCs w:val="19"/>
              </w:rPr>
              <w:t xml:space="preserve">• Постановление № 1285, пункт 2.5.2.9.2.1.2 (также в разделе «оборудование и неядерные материалы»): Коллекторы ионов. Специально разработанные или подготовленные коллекторные пластины, имеющие две или более щели и паза, для сбора пучков ионов обогащенного и обедненного урана и изготовленные из соответствующих материалов, таких, как графит или нержавеющая сталь</w:t>
            </w:r>
          </w:p>
          <w:p>
            <w:pPr>
              <w:spacing w:after="60"/>
              <w:ind w:left="220" w:hanging="160"/>
            </w:pPr>
            <w:r>
              <w:rPr>
                <w:rFonts w:ascii="Arial" w:cs="Arial" w:eastAsia="Arial" w:hAnsi="Arial"/>
                <w:sz w:val="19"/>
                <w:szCs w:val="19"/>
              </w:rPr>
              <w:t xml:space="preserve">• Постановление № 1285, пункт 2.5.2.9.2.1.3 (также в разделе «оборудование и неядерные материалы»): Вакуумные кожухи. Специально разработанные или подготовленные вакуумные кожухи для электромагнитных сепараторов урана, изготовленные из соответствующих немагнитных материалов, таких, как нержавеющая сталь и предназначенные для работы при давлениях 0,1 Па или ниже</w:t>
            </w:r>
          </w:p>
          <w:p>
            <w:pPr>
              <w:spacing w:after="60"/>
              <w:ind w:left="220" w:hanging="160"/>
            </w:pPr>
            <w:r>
              <w:rPr>
                <w:rFonts w:ascii="Arial" w:cs="Arial" w:eastAsia="Arial" w:hAnsi="Arial"/>
                <w:sz w:val="19"/>
                <w:szCs w:val="19"/>
              </w:rPr>
              <w:t xml:space="preserve">• Постановление № 1285, пункт 2.6.1 (также в разделе «оборудование и неядерные материалы»): Установки для производства тяжелой воды, дейтерия и дейтериевых соединений</w:t>
            </w:r>
          </w:p>
          <w:p>
            <w:pPr>
              <w:spacing w:after="60"/>
              <w:ind w:left="220" w:hanging="160"/>
            </w:pPr>
            <w:r>
              <w:rPr>
                <w:rFonts w:ascii="Arial" w:cs="Arial" w:eastAsia="Arial" w:hAnsi="Arial"/>
                <w:sz w:val="19"/>
                <w:szCs w:val="19"/>
              </w:rPr>
              <w:t xml:space="preserve">• Постановление № 1285, пункт 2.6.2.1 (также в разделе «оборудование и неядерные материалы»): Водо-сероводородные обменные колонны. Специально разработанные или подготовленные для производства тяжелой воды путем использования процесса изотопного обмена воды и сероводорода обменные колонны диаметром 1,5 м и более, которые могут эксплуатироваться при давлениях свыше или равных 2 МПа</w:t>
            </w:r>
          </w:p>
          <w:p>
            <w:pPr>
              <w:spacing w:after="60"/>
              <w:ind w:left="220" w:hanging="160"/>
            </w:pPr>
            <w:r>
              <w:rPr>
                <w:rFonts w:ascii="Arial" w:cs="Arial" w:eastAsia="Arial" w:hAnsi="Arial"/>
                <w:sz w:val="19"/>
                <w:szCs w:val="19"/>
              </w:rPr>
              <w:t xml:space="preserve">• Постановление № 1285, пункт 2.6.2.3 (также в разделе «оборудование и неядерные материалы»): Аммиачно-водородные обменные колонны. Специально разработанные или подготовленные для производства тяжелой воды путем использования процесса обмена аммиака и водорода аммиачно-водородные обменные колонны высотой более или равной 35 м, диаметром от 1,5 м до 2,5 м, которые могут эксплуатироваться под…</w:t>
            </w:r>
          </w:p>
          <w:p>
            <w:pPr>
              <w:spacing w:after="60"/>
              <w:ind w:left="220" w:hanging="160"/>
            </w:pPr>
            <w:r>
              <w:rPr>
                <w:rFonts w:ascii="Arial" w:cs="Arial" w:eastAsia="Arial" w:hAnsi="Arial"/>
                <w:sz w:val="19"/>
                <w:szCs w:val="19"/>
              </w:rPr>
              <w:t xml:space="preserve">• Постановление № 1285, пункт 2.6.2.4 (также в разделе «оборудование и неядерные материалы»): Внутренние части колонны и ступенчатые насосы. Специально разработанные или подготовленные внутренние части колонны и ступенчатые насосы для колонн для производства тяжелой воды путем использования процесса аммиачно-водородного обмена. Внутренние части колонны включают специально разработанные…</w:t>
            </w:r>
          </w:p>
          <w:p>
            <w:pPr>
              <w:spacing w:after="60"/>
              <w:ind w:left="220" w:hanging="160"/>
            </w:pPr>
            <w:r>
              <w:rPr>
                <w:rFonts w:ascii="Arial" w:cs="Arial" w:eastAsia="Arial" w:hAnsi="Arial"/>
                <w:sz w:val="19"/>
                <w:szCs w:val="19"/>
              </w:rPr>
              <w:t xml:space="preserve">• Постановление № 1285, пункт 2.6.2.5 (также в разделе «оборудование и неядерные материалы»): Установки для крекинга аммиака, эксплуатируемые под давлением, превышающим или равным 3 МПа, специально разработанные или подготовленные для производства тяжелой воды путем использования процесса изотопного обмена аммиака и водорода</w:t>
            </w:r>
          </w:p>
          <w:p>
            <w:pPr>
              <w:spacing w:after="60"/>
              <w:ind w:left="220" w:hanging="160"/>
            </w:pPr>
            <w:r>
              <w:rPr>
                <w:rFonts w:ascii="Arial" w:cs="Arial" w:eastAsia="Arial" w:hAnsi="Arial"/>
                <w:sz w:val="19"/>
                <w:szCs w:val="19"/>
              </w:rPr>
              <w:t xml:space="preserve">• Постановление № 1285, пункт 2.6.2.7 (также в разделе «оборудование и неядерные материалы»): 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p>
            <w:pPr>
              <w:spacing w:after="60"/>
              <w:ind w:left="220" w:hanging="160"/>
            </w:pPr>
            <w:r>
              <w:rPr>
                <w:rFonts w:ascii="Arial" w:cs="Arial" w:eastAsia="Arial" w:hAnsi="Arial"/>
                <w:sz w:val="19"/>
                <w:szCs w:val="19"/>
              </w:rPr>
              <w:t xml:space="preserve">• Постановление № 1285, пункт 2.6.2.8 (также в разделе «оборудование и неядерные материалы»): Комплектные системы обогащения тяжелой воды и колонны для них. Специально разработанные или подготовленные комплектные системы обогащения тяжелой воды и колонны для них для обогащения тяжелой воды до концентрации дейтерия, применяемой в реакторах</w:t>
            </w:r>
          </w:p>
          <w:p>
            <w:pPr>
              <w:spacing w:after="60"/>
              <w:ind w:left="220" w:hanging="160"/>
            </w:pPr>
            <w:r>
              <w:rPr>
                <w:rFonts w:ascii="Arial" w:cs="Arial" w:eastAsia="Arial" w:hAnsi="Arial"/>
                <w:sz w:val="19"/>
                <w:szCs w:val="19"/>
              </w:rPr>
              <w:t xml:space="preserve">• Постановление № 1285, пункт 2.6.2.9 (также в разделе «оборудование и неядерные материалы»): Специально разработанные или подготовленные аммиачные синтезирующие конвертеры или аммиачные синтезирующие секции для производства тяжелой воды по технологии изотопного обмена аммиака и водорода</w:t>
            </w:r>
          </w:p>
          <w:p>
            <w:pPr>
              <w:spacing w:after="60"/>
            </w:pPr>
            <w:hyperlink w:history="1" r:id="rIdk2izfqpm-rlhwdv3hykn4">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w:t>
            </w:r>
            <w:hyperlink w:history="1" r:id="rId2-mcemi9mr2cawltcefip">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qlulduhggxtn2e4cgtjw5">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8401200000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injg9bkcnvlow8gfkcaa5">
              <w:r>
                <w:rPr>
                  <w:rFonts w:ascii="Arial" w:cs="Arial" w:eastAsia="Arial" w:hAnsi="Arial"/>
                  <w:color w:val="1F5FBF"/>
                  <w:sz w:val="19"/>
                  <w:szCs w:val="19"/>
                  <w:u w:val="single"/>
                </w:rPr>
                <w:t xml:space="preserve">Постановление Правительства РФ от 09.03.2022 № 312</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rlurysv7q4jdxwdmhzhe1">
              <w:r>
                <w:rPr>
                  <w:rFonts w:ascii="Arial" w:cs="Arial" w:eastAsia="Arial" w:hAnsi="Arial"/>
                  <w:color w:val="1F5FBF"/>
                  <w:sz w:val="19"/>
                  <w:szCs w:val="19"/>
                  <w:u w:val="single"/>
                </w:rPr>
                <w:t xml:space="preserve">Постановление Правительства РФ от 16.07.2022 № 1286</w:t>
              </w:r>
            </w:hyperlink>
            <w:r>
              <w:rPr>
                <w:rFonts w:ascii="Arial" w:cs="Arial" w:eastAsia="Arial" w:hAnsi="Arial"/>
                <w:sz w:val="19"/>
                <w:szCs w:val="19"/>
              </w:rPr>
              <w:t xml:space="preserve">, пункты 2.1.4.1, 2.1.4.2, 2.2.1.1 и другие; </w:t>
            </w:r>
            <w:hyperlink w:history="1" r:id="rIdrvv6dd62mpiyiu9hgajvh">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пункты 2.5.1, 2.5.2.1, 2.5.2.1.1.1 и другие</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qxv7wsofwqpef9_z9aksq">
              <w:r>
                <w:rPr>
                  <w:rFonts w:ascii="Arial" w:cs="Arial" w:eastAsia="Arial" w:hAnsi="Arial"/>
                  <w:color w:val="1F5FBF"/>
                  <w:sz w:val="19"/>
                  <w:szCs w:val="19"/>
                  <w:u w:val="single"/>
                </w:rPr>
                <w:t xml:space="preserve">Постановление Правительства РФ от 16.07.2022 № 1286</w:t>
              </w:r>
            </w:hyperlink>
            <w:r>
              <w:rPr>
                <w:rFonts w:ascii="Arial" w:cs="Arial" w:eastAsia="Arial" w:hAnsi="Arial"/>
                <w:sz w:val="19"/>
                <w:szCs w:val="19"/>
              </w:rPr>
              <w:t xml:space="preserve">, пункты 2.1.4.1, 2.1.4.2, 2.2.1.1 и другие; </w:t>
            </w:r>
            <w:hyperlink w:history="1" r:id="rIdx16udaxadkc6sla1gfrlp">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пункты 2.5.1, 2.5.2.1, 2.5.2.1.1.1 и другие</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uzzsctab8panc692fugp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hubdzvwvabkyzojyq2x4">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mfmhyg6vjyj8v_et68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28.99.39 — Оборудование стартовое для аппаратов летательных, устройства тормозные палубные или аналогичные; оборудование балансировки шин; оборудование специального назначения, не включенное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https://imexp.ru/katalog/kod/8401200000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hylqzkkgvvexf07nu7li" Type="http://schemas.openxmlformats.org/officeDocument/2006/relationships/hyperlink" Target="https://docs.eaeunion.org/documents/386/6099/" TargetMode="External"/><Relationship Id="rIdka2423uyizci06zefongx" Type="http://schemas.openxmlformats.org/officeDocument/2006/relationships/hyperlink" Target="https://docs.eaeunion.org/documents/386/6099/" TargetMode="External"/><Relationship Id="rIds0nys8e_ozqfmchwe6b1x" Type="http://schemas.openxmlformats.org/officeDocument/2006/relationships/hyperlink" Target="http://publication.pravo.gov.ru/document/0001202203100034" TargetMode="External"/><Relationship Id="rId3hmulq5rw-vqfw5zzf4c5" Type="http://schemas.openxmlformats.org/officeDocument/2006/relationships/hyperlink" Target="http://publication.pravo.gov.ru/document/0001202203100025" TargetMode="External"/><Relationship Id="rIdqlxvgsfpe9cjtyhcgggwi" Type="http://schemas.openxmlformats.org/officeDocument/2006/relationships/hyperlink" Target="http://publication.pravo.gov.ru/document/0001202207190018" TargetMode="External"/><Relationship Id="rIdyvoontenwciditzjjg3by" Type="http://schemas.openxmlformats.org/officeDocument/2006/relationships/hyperlink" Target="http://publication.pravo.gov.ru/document/0001202207190029" TargetMode="External"/><Relationship Id="rIdwjrxl4iotcb4dtluuxgo-" Type="http://schemas.openxmlformats.org/officeDocument/2006/relationships/hyperlink" Target="http://publication.pravo.gov.ru/document/0001202411290098" TargetMode="External"/><Relationship Id="rIdkf3g4eafk8n9ise1zwhby" Type="http://schemas.openxmlformats.org/officeDocument/2006/relationships/hyperlink" Target="http://publication.pravo.gov.ru/document/0001202203100034" TargetMode="External"/><Relationship Id="rIdc8ccidvbadp-zrvm0zcmx" Type="http://schemas.openxmlformats.org/officeDocument/2006/relationships/hyperlink" Target="http://publication.pravo.gov.ru/document/0001202203100025" TargetMode="External"/><Relationship Id="rIdk2izfqpm-rlhwdv3hykn4" Type="http://schemas.openxmlformats.org/officeDocument/2006/relationships/hyperlink" Target="http://publication.pravo.gov.ru/document/0001202207190018" TargetMode="External"/><Relationship Id="rId2-mcemi9mr2cawltcefip" Type="http://schemas.openxmlformats.org/officeDocument/2006/relationships/hyperlink" Target="http://publication.pravo.gov.ru/document/0001202207190029" TargetMode="External"/><Relationship Id="rIdqlulduhggxtn2e4cgtjw5" Type="http://schemas.openxmlformats.org/officeDocument/2006/relationships/hyperlink" Target="https://docs.eaeunion.org/documents/253/3575/" TargetMode="External"/><Relationship Id="rIdinjg9bkcnvlow8gfkcaa5" Type="http://schemas.openxmlformats.org/officeDocument/2006/relationships/hyperlink" Target="http://publication.pravo.gov.ru/document/0001202203100025" TargetMode="External"/><Relationship Id="rIdrlurysv7q4jdxwdmhzhe1" Type="http://schemas.openxmlformats.org/officeDocument/2006/relationships/hyperlink" Target="http://publication.pravo.gov.ru/document/0001202207190018" TargetMode="External"/><Relationship Id="rIdrvv6dd62mpiyiu9hgajvh" Type="http://schemas.openxmlformats.org/officeDocument/2006/relationships/hyperlink" Target="http://publication.pravo.gov.ru/document/0001202207190029" TargetMode="External"/><Relationship Id="rIdqxv7wsofwqpef9_z9aksq" Type="http://schemas.openxmlformats.org/officeDocument/2006/relationships/hyperlink" Target="http://publication.pravo.gov.ru/document/0001202207190018" TargetMode="External"/><Relationship Id="rIdx16udaxadkc6sla1gfrlp" Type="http://schemas.openxmlformats.org/officeDocument/2006/relationships/hyperlink" Target="http://publication.pravo.gov.ru/document/0001202207190029" TargetMode="External"/><Relationship Id="rIduzzsctab8panc692fugpf" Type="http://schemas.openxmlformats.org/officeDocument/2006/relationships/hyperlink" Target="https://docs.eaeunion.org/documents/214/946/" TargetMode="External"/><Relationship Id="rIdbhubdzvwvabkyzojyq2x4" Type="http://schemas.openxmlformats.org/officeDocument/2006/relationships/hyperlink" Target="https://docs.eaeunion.org/documents/208/8939/" TargetMode="External"/><Relationship Id="rId-smfmhyg6vjyj8v_et68w"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8401 20 000 0: вывоз</dc:title>
  <dc:creator>IMEXP</dc:creator>
  <cp:lastModifiedBy>Un-named</cp:lastModifiedBy>
  <cp:revision>1</cp:revision>
  <dcterms:created xsi:type="dcterms:W3CDTF">2026-10-28T04:01:35.448Z</dcterms:created>
  <dcterms:modified xsi:type="dcterms:W3CDTF">2026-10-28T04:01:35.448Z</dcterms:modified>
</cp:coreProperties>
</file>

<file path=docProps/custom.xml><?xml version="1.0" encoding="utf-8"?>
<Properties xmlns="http://schemas.openxmlformats.org/officeDocument/2006/custom-properties" xmlns:vt="http://schemas.openxmlformats.org/officeDocument/2006/docPropsVTypes"/>
</file>