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8424 20 000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8424 — 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w:t>
            </w:r>
          </w:p>
          <w:p>
            <w:pPr>
              <w:spacing w:after="60"/>
            </w:pPr>
            <w:r>
              <w:rPr>
                <w:rFonts w:ascii="Arial" w:cs="Arial" w:eastAsia="Arial" w:hAnsi="Arial"/>
                <w:color w:val="5B6472"/>
                <w:sz w:val="17"/>
                <w:szCs w:val="17"/>
              </w:rPr>
              <w:t xml:space="preserve">8424 20 — Пульверизаторы и аналогичные устройства</w:t>
            </w:r>
          </w:p>
          <w:p>
            <w:pPr>
              <w:spacing w:after="60"/>
            </w:pPr>
            <w:r>
              <w:rPr>
                <w:rFonts w:ascii="Arial" w:cs="Arial" w:eastAsia="Arial" w:hAnsi="Arial"/>
                <w:color w:val="5B6472"/>
                <w:sz w:val="17"/>
                <w:szCs w:val="17"/>
              </w:rPr>
              <w:t xml:space="preserve">8424 20 00 — Пульверизаторы и аналогичные устройства</w:t>
            </w:r>
          </w:p>
          <w:p>
            <w:pPr>
              <w:spacing w:after="60"/>
            </w:pPr>
            <w:r>
              <w:rPr>
                <w:rFonts w:ascii="Arial" w:cs="Arial" w:eastAsia="Arial" w:hAnsi="Arial"/>
                <w:b/>
                <w:bCs/>
                <w:sz w:val="19"/>
                <w:szCs w:val="19"/>
              </w:rPr>
              <w:t xml:space="preserve">8424 20 000 0 — Пульверизаторы и аналогичные устройства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ot8obf_uiho3yxfdlt9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kcnvweskwc41v7rvedv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jkdhug0dclas8glo8hgwh">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vv9hmxltuizfomvgmcq8t">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Сертификат соответствия — </w:t>
            </w:r>
            <w:hyperlink w:history="1" r:id="rIdphqeffuias1myy1enxcwn">
              <w:r>
                <w:rPr>
                  <w:rFonts w:ascii="Arial" w:cs="Arial" w:eastAsia="Arial" w:hAnsi="Arial"/>
                  <w:color w:val="1F5FBF"/>
                  <w:sz w:val="19"/>
                  <w:szCs w:val="19"/>
                  <w:u w:val="single"/>
                </w:rPr>
                <w:t xml:space="preserve">ТР ТС 020/2011</w:t>
              </w:r>
            </w:hyperlink>
          </w:p>
          <w:p>
            <w:pPr>
              <w:spacing w:after="60"/>
              <w:ind w:left="220" w:hanging="160"/>
            </w:pPr>
            <w:r>
              <w:rPr>
                <w:rFonts w:ascii="Arial" w:cs="Arial" w:eastAsia="Arial" w:hAnsi="Arial"/>
                <w:sz w:val="19"/>
                <w:szCs w:val="19"/>
              </w:rPr>
              <w:t xml:space="preserve">• Декларация о соответствии — </w:t>
            </w:r>
            <w:hyperlink w:history="1" r:id="rIdrpqlvzs2cjn0z8qkm76p1">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azcir9ha6sfcg6c7qm7j">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1m62o2bcynseji7j6m95e">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crrf4f526dwbya_yhc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yhew2xjimiduroykzkr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299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5tgig_jz3rhvymjxv2i4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nkmopucwqfj5n3las7yf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p8iuzs0dbjdvqufene-8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phmnatozntiaiknpsve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299 (8424): ANSUAL, Ate, BLACK &amp; DECKER, DEWALT, EagleBurgmann, FAIN, FISKARS, GARDENA, HANS PRIES, Husqvarna, ISTOBAL, metabo, NK, NOVENCO, STANLEY, SEMCO, TYCO, SEAPLUS, Vestas, WILHLEMSEN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jashagbk6bmsakn_a-n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22pcrq2ilehjtndvxaa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hjnmqm9jzdas-gcra1auw">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8424 — Оборудование санитарно-гигиеническое, средства перемещения и перевозки 94 5100 (оборудование дезинфекционное; оборудование стерилизационное; оборудование моечное, оборудование для санитарной обработки; оборудование для очистки и обогащения воздуха; средства перемещения и перевозки медицинские…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nq5k4kmaa0xqw3hxy9r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qtz8kdxhmpnzcukakj0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baaj69dkroenjej6thm27">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Машины и оборудование для коммунального хозяйства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Инструмент механизированный, в том числе электрический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Оборудование технологическое и аппаратура для нанесения лакокрасочных покрытий на изделия машиностроения (касается части товаров кода)</w:t>
            </w:r>
          </w:p>
          <w:p>
            <w:pPr>
              <w:spacing w:after="60"/>
            </w:pPr>
            <w:hyperlink w:history="1" r:id="rIdj_wl3cnwwe4q_18lmew1_">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Дозаторы установок пенного пожаротушения</w:t>
            </w:r>
          </w:p>
          <w:p>
            <w:pPr>
              <w:spacing w:after="60"/>
              <w:ind w:left="220" w:hanging="160"/>
            </w:pPr>
            <w:r>
              <w:rPr>
                <w:rFonts w:ascii="Arial" w:cs="Arial" w:eastAsia="Arial" w:hAnsi="Arial"/>
                <w:sz w:val="19"/>
                <w:szCs w:val="19"/>
              </w:rPr>
              <w:t xml:space="preserve">• сертификат соответствия: Генераторы огнетушащего аэрозоля</w:t>
            </w:r>
          </w:p>
          <w:p>
            <w:pPr>
              <w:spacing w:after="60"/>
              <w:ind w:left="220" w:hanging="160"/>
            </w:pPr>
            <w:r>
              <w:rPr>
                <w:rFonts w:ascii="Arial" w:cs="Arial" w:eastAsia="Arial" w:hAnsi="Arial"/>
                <w:sz w:val="19"/>
                <w:szCs w:val="19"/>
              </w:rPr>
              <w:t xml:space="preserve">• сертификат соответствия: Установки пожаротушения роботизированные</w:t>
            </w:r>
          </w:p>
          <w:p>
            <w:pPr>
              <w:spacing w:after="60"/>
              <w:ind w:left="220" w:hanging="160"/>
            </w:pPr>
            <w:r>
              <w:rPr>
                <w:rFonts w:ascii="Arial" w:cs="Arial" w:eastAsia="Arial" w:hAnsi="Arial"/>
                <w:sz w:val="19"/>
                <w:szCs w:val="19"/>
              </w:rPr>
              <w:t xml:space="preserve">• декларация о соответствии: Пеносмесители</w:t>
            </w:r>
          </w:p>
          <w:p>
            <w:pPr>
              <w:spacing w:after="60"/>
              <w:ind w:left="220" w:hanging="160"/>
            </w:pPr>
            <w:r>
              <w:rPr>
                <w:rFonts w:ascii="Arial" w:cs="Arial" w:eastAsia="Arial" w:hAnsi="Arial"/>
                <w:sz w:val="19"/>
                <w:szCs w:val="19"/>
              </w:rPr>
              <w:t xml:space="preserve">• сертификат соответствия: Стволы пожарные ручные</w:t>
            </w:r>
          </w:p>
          <w:p>
            <w:pPr>
              <w:spacing w:after="60"/>
              <w:ind w:left="220" w:hanging="160"/>
            </w:pPr>
            <w:r>
              <w:rPr>
                <w:rFonts w:ascii="Arial" w:cs="Arial" w:eastAsia="Arial" w:hAnsi="Arial"/>
                <w:sz w:val="19"/>
                <w:szCs w:val="19"/>
              </w:rPr>
              <w:t xml:space="preserve">• сертификат соответствия: Стволы пожарные лафетные</w:t>
            </w:r>
          </w:p>
          <w:p>
            <w:pPr>
              <w:spacing w:after="60"/>
              <w:ind w:left="220" w:hanging="160"/>
            </w:pPr>
            <w:r>
              <w:rPr>
                <w:rFonts w:ascii="Arial" w:cs="Arial" w:eastAsia="Arial" w:hAnsi="Arial"/>
                <w:sz w:val="19"/>
                <w:szCs w:val="19"/>
              </w:rPr>
              <w:t xml:space="preserve">• сертификат соответствия: Генераторы пены</w:t>
            </w:r>
          </w:p>
          <w:p>
            <w:pPr>
              <w:spacing w:after="60"/>
            </w:pPr>
            <w:hyperlink w:history="1" r:id="rIdvajyz7wcvyqexjtaaq52x">
              <w:r>
                <w:rPr>
                  <w:rFonts w:ascii="Arial" w:cs="Arial" w:eastAsia="Arial" w:hAnsi="Arial"/>
                  <w:b/>
                  <w:bCs/>
                  <w:color w:val="1F5FBF"/>
                  <w:sz w:val="19"/>
                  <w:szCs w:val="19"/>
                  <w:u w:val="single"/>
                </w:rPr>
                <w:t xml:space="preserve">ТР ТС 020/2011</w:t>
              </w:r>
            </w:hyperlink>
            <w:r>
              <w:rPr>
                <w:rFonts w:ascii="Arial" w:cs="Arial" w:eastAsia="Arial" w:hAnsi="Arial"/>
                <w:b/>
                <w:bCs/>
                <w:sz w:val="19"/>
                <w:szCs w:val="19"/>
              </w:rPr>
              <w:t xml:space="preserve"> «Электромагнитная совместимость технических средств»</w:t>
            </w:r>
          </w:p>
          <w:p>
            <w:pPr>
              <w:spacing w:after="60"/>
              <w:ind w:left="220" w:hanging="160"/>
            </w:pPr>
            <w:r>
              <w:rPr>
                <w:rFonts w:ascii="Arial" w:cs="Arial" w:eastAsia="Arial" w:hAnsi="Arial"/>
                <w:sz w:val="19"/>
                <w:szCs w:val="19"/>
              </w:rPr>
              <w:t xml:space="preserve">• сертификат соответствия: пистолеты – распылители невоспламеняющихся жидкостей</w:t>
            </w:r>
          </w:p>
          <w:p>
            <w:pPr>
              <w:spacing w:after="60"/>
            </w:pPr>
            <w:hyperlink w:history="1" r:id="rIdfnjedtlkif76zlww9u8by">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пистолеты – распылители невоспламеняющихся жидкостей</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8424 20 действует сертификатов: 683, деклараций: 1760; чаще по </w:t>
            </w:r>
            <w:hyperlink w:history="1" r:id="rIdkjmatoafv9ui-s7myvtz5">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ktsel0hwsoabl1zd8leu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qnihdtmwr8ury0r0lobov">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ao6rwzrpe279pcygty_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acuzx3gaausyfyegirp4i">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1287, пункт 5.8.1 (также в разделе «оборудование»): 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w:t>
            </w:r>
          </w:p>
          <w:p>
            <w:pPr>
              <w:spacing w:after="60"/>
              <w:ind w:left="220" w:hanging="160"/>
            </w:pPr>
            <w:r>
              <w:rPr>
                <w:rFonts w:ascii="Arial" w:cs="Arial" w:eastAsia="Arial" w:hAnsi="Arial"/>
                <w:sz w:val="19"/>
                <w:szCs w:val="19"/>
              </w:rPr>
              <w:t xml:space="preserve">• Постановление № 1287, пункт 5.8.2 (также в разделе «оборудование»): 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образовывать из жидких суспензий первоначальный аэрозоль со средним массовым диаметром…</w:t>
            </w:r>
          </w:p>
          <w:p>
            <w:pPr>
              <w:spacing w:after="60"/>
            </w:pPr>
            <w:hyperlink w:history="1" r:id="rId3mp1zymehlslwurxh64ic">
              <w:r>
                <w:rPr>
                  <w:rFonts w:ascii="Arial" w:cs="Arial" w:eastAsia="Arial" w:hAnsi="Arial"/>
                  <w:color w:val="1F5FBF"/>
                  <w:sz w:val="17"/>
                  <w:szCs w:val="17"/>
                  <w:u w:val="single"/>
                </w:rPr>
                <w:t xml:space="preserve">Постановление Правительства РФ от 16.07.2022 № 1287</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(10);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Технологическое оборудование для окрашивания металлических деталей методом распыления жидкой краски на поверхность изделий посредством пневматических распылителей. В состав линии входят: 1.Подвесной конвейер. 2.Камера предварительной…</w:t>
            </w:r>
          </w:p>
          <w:p>
            <w:pPr>
              <w:spacing w:after="60"/>
            </w:pPr>
            <w:r>
              <w:rPr>
                <w:rFonts w:ascii="Arial" w:cs="Arial" w:eastAsia="Arial" w:hAnsi="Arial"/>
                <w:color w:val="5B6472"/>
                <w:sz w:val="17"/>
                <w:szCs w:val="17"/>
              </w:rPr>
              <w:t xml:space="preserve">В соответствии с ОПИ 1 (примечание 4 к разделу XVI) и 6</w:t>
            </w:r>
          </w:p>
          <w:p>
            <w:pPr>
              <w:spacing w:after="60"/>
              <w:ind w:left="220" w:hanging="160"/>
            </w:pPr>
            <w:r>
              <w:rPr>
                <w:rFonts w:ascii="Arial" w:cs="Arial" w:eastAsia="Arial" w:hAnsi="Arial"/>
                <w:sz w:val="19"/>
                <w:szCs w:val="19"/>
              </w:rPr>
              <w:t xml:space="preserve">• Казахстан: Автоматическая линия окраски радиаторов отопления, Модель А-1990 представляет собой технологическое оборудование, которое включает агрегаты для разных стадий обработки металлических элементов. Процесс окрашивания состоит из: Системы…</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ЛИНИЯ НАНЕСЕНИЯ ПОРОШКОВОЙ ПОКРЫТИЯ, марка VERA для нанесение порошковой краски на алюминиевые профиля устойчивое к механическому и атмосферному воздействию покрытие. Процесс окрашивания производится в автоматическом режиме. Линия для…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Моющая тележка AquaJet, модель AquaJet, артикул 182100100 - это управляемая в ручном режиме машина для распыления водяной струи высокого давления, которая предназначена для очистки крыши и фасадов теплиц промышленных размеров. Она…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Оборудование для порошковой краски представляет собой автоматизированный стационарный комплекс горизонтального типа, который предназначен для автоматического нанесения лакокрасочных покрытий на поверхности различных изделий (в том числе…</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5,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5ni_gd_dt-yfr6obpdd8-">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8424200000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jin1_gwi5tlfo0efihstf">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c9exx414shwsqlwmxijb3">
              <w:r>
                <w:rPr>
                  <w:rFonts w:ascii="Arial" w:cs="Arial" w:eastAsia="Arial" w:hAnsi="Arial"/>
                  <w:color w:val="1F5FBF"/>
                  <w:sz w:val="19"/>
                  <w:szCs w:val="19"/>
                  <w:u w:val="single"/>
                </w:rPr>
                <w:t xml:space="preserve">ТР ЕАЭС 043/2017</w:t>
              </w:r>
            </w:hyperlink>
            <w:r>
              <w:rPr>
                <w:rFonts w:ascii="Arial" w:cs="Arial" w:eastAsia="Arial" w:hAnsi="Arial"/>
                <w:sz w:val="19"/>
                <w:szCs w:val="19"/>
              </w:rPr>
              <w:t xml:space="preserve">; </w:t>
            </w:r>
            <w:hyperlink w:history="1" r:id="rIdqjc5qpfqs5uiqbx0zs4me">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jz4qfqbvvw_xtmcawx-sd">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c9n1jeljfkhtks7n41ydh">
              <w:r>
                <w:rPr>
                  <w:rFonts w:ascii="Arial" w:cs="Arial" w:eastAsia="Arial" w:hAnsi="Arial"/>
                  <w:color w:val="1F5FBF"/>
                  <w:sz w:val="19"/>
                  <w:szCs w:val="19"/>
                  <w:u w:val="single"/>
                </w:rPr>
                <w:t xml:space="preserve">ТР ЕАЭС 043/2017</w:t>
              </w:r>
            </w:hyperlink>
            <w:r>
              <w:rPr>
                <w:rFonts w:ascii="Arial" w:cs="Arial" w:eastAsia="Arial" w:hAnsi="Arial"/>
                <w:sz w:val="19"/>
                <w:szCs w:val="19"/>
              </w:rPr>
              <w:t xml:space="preserve">; </w:t>
            </w:r>
            <w:hyperlink w:history="1" r:id="rIdwe93r4m5ixtop0z-2fqxw">
              <w:r>
                <w:rPr>
                  <w:rFonts w:ascii="Arial" w:cs="Arial" w:eastAsia="Arial" w:hAnsi="Arial"/>
                  <w:color w:val="1F5FBF"/>
                  <w:sz w:val="19"/>
                  <w:szCs w:val="19"/>
                  <w:u w:val="single"/>
                </w:rPr>
                <w:t xml:space="preserve">ТР ТС 020/2011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bow8h4iqjv7capzlcgb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u35iuiso3qwdp14f3xf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uy7rkxpusktetkcnojzj">
              <w:r>
                <w:rPr>
                  <w:rFonts w:ascii="Arial" w:cs="Arial" w:eastAsia="Arial" w:hAnsi="Arial"/>
                  <w:color w:val="1F5FBF"/>
                  <w:sz w:val="19"/>
                  <w:szCs w:val="19"/>
                  <w:u w:val="single"/>
                </w:rPr>
                <w:t xml:space="preserve">Решение Коллегии ЕЭК № 167 от 16.10.2018</w:t>
              </w:r>
            </w:hyperlink>
            <w:r>
              <w:rPr>
                <w:rFonts w:ascii="Arial" w:cs="Arial" w:eastAsia="Arial" w:hAnsi="Arial"/>
                <w:sz w:val="19"/>
                <w:szCs w:val="19"/>
              </w:rPr>
              <w:t xml:space="preserve"> — Об утверждении перечня продукции,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 (вступило в силу 18.11.2018)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https://imexp.ru/katalog/kod/8424200000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ot8obf_uiho3yxfdlt9u" Type="http://schemas.openxmlformats.org/officeDocument/2006/relationships/hyperlink" Target="https://imexp.ru/akty/reshenie-soveta-eek-80-2021" TargetMode="External"/><Relationship Id="rIdokcnvweskwc41v7rvedvo" Type="http://schemas.openxmlformats.org/officeDocument/2006/relationships/hyperlink" Target="https://imexp.ru/akty/reshenie-soveta-eek-80-2021" TargetMode="External"/><Relationship Id="rIdjkdhug0dclas8glo8hgwh" Type="http://schemas.openxmlformats.org/officeDocument/2006/relationships/hyperlink" Target="https://imexp.ru/katalog/tehreglamenty/tr-ts-010-2011" TargetMode="External"/><Relationship Id="rIdvv9hmxltuizfomvgmcq8t" Type="http://schemas.openxmlformats.org/officeDocument/2006/relationships/hyperlink" Target="https://imexp.ru/katalog/tehreglamenty/tr-eaes-043-2017" TargetMode="External"/><Relationship Id="rIdphqeffuias1myy1enxcwn" Type="http://schemas.openxmlformats.org/officeDocument/2006/relationships/hyperlink" Target="https://imexp.ru/katalog/tehreglamenty/tr-ts-020-2011" TargetMode="External"/><Relationship Id="rIdrpqlvzs2cjn0z8qkm76p1" Type="http://schemas.openxmlformats.org/officeDocument/2006/relationships/hyperlink" Target="https://imexp.ru/katalog/tehreglamenty/tr-eaes-037-2016" TargetMode="External"/><Relationship Id="rIdlazcir9ha6sfcg6c7qm7j" Type="http://schemas.openxmlformats.org/officeDocument/2006/relationships/hyperlink" Target="https://imexp.ru/akty/postanovlenie-353-2022" TargetMode="External"/><Relationship Id="rId1m62o2bcynseji7j6m95e" Type="http://schemas.openxmlformats.org/officeDocument/2006/relationships/hyperlink" Target="https://imexp.ru/akty/prikaz-minpromtorga-4114-2024" TargetMode="External"/><Relationship Id="rIdmcrrf4f526dwbya_yhcs-" Type="http://schemas.openxmlformats.org/officeDocument/2006/relationships/hyperlink" Target="https://imexp.ru/akty/reshenie-kollegii-eek-154-2019" TargetMode="External"/><Relationship Id="rId6yhew2xjimiduroykzkrp" Type="http://schemas.openxmlformats.org/officeDocument/2006/relationships/hyperlink" Target="https://imexp.ru/akty/prikaz-minpromtorga-2701-2023" TargetMode="External"/><Relationship Id="rId5tgig_jz3rhvymjxv2i4q" Type="http://schemas.openxmlformats.org/officeDocument/2006/relationships/hyperlink" Target="https://eur-lex.europa.eu/eli/reg/2014/833/oj/eng" TargetMode="External"/><Relationship Id="rIdnkmopucwqfj5n3las7yfd" Type="http://schemas.openxmlformats.org/officeDocument/2006/relationships/hyperlink" Target="https://www.legislation.gov.uk/uksi/2019/855/contents" TargetMode="External"/><Relationship Id="rIdp8iuzs0dbjdvqufene-8s" Type="http://schemas.openxmlformats.org/officeDocument/2006/relationships/hyperlink" Target="https://www.ecfr.gov/current/title-15/subtitle-B/chapter-VII/subchapter-C/part-746" TargetMode="External"/><Relationship Id="rIdxphmnatozntiaiknpsveo" Type="http://schemas.openxmlformats.org/officeDocument/2006/relationships/hyperlink" Target="https://imexp.ru/akty/prikaz-minpromtorga-2701-2023" TargetMode="External"/><Relationship Id="rIdgjashagbk6bmsakn_a-nz" Type="http://schemas.openxmlformats.org/officeDocument/2006/relationships/hyperlink" Target="https://imexp.ru/akty/reshenie-soveta-eek-80-2021" TargetMode="External"/><Relationship Id="rIdk22pcrq2ilehjtndvxaau" Type="http://schemas.openxmlformats.org/officeDocument/2006/relationships/hyperlink" Target="https://imexp.ru/akty/reshenie-soveta-eek-8-2017" TargetMode="External"/><Relationship Id="rIdhjnmqm9jzdas-gcra1auw" Type="http://schemas.openxmlformats.org/officeDocument/2006/relationships/hyperlink" Target="https://imexp.ru/akty/postanovlenie-1042-2015" TargetMode="External"/><Relationship Id="rIdcnq5k4kmaa0xqw3hxy9ru" Type="http://schemas.openxmlformats.org/officeDocument/2006/relationships/hyperlink" Target="https://imexp.ru/akty/postanovlenie-1637-2024" TargetMode="External"/><Relationship Id="rIdyqtz8kdxhmpnzcukakj0t" Type="http://schemas.openxmlformats.org/officeDocument/2006/relationships/hyperlink" Target="https://imexp.ru/akty/rasporyazhenie-792-r-2018" TargetMode="External"/><Relationship Id="rIdbaaj69dkroenjej6thm27" Type="http://schemas.openxmlformats.org/officeDocument/2006/relationships/hyperlink" Target="https://imexp.ru/katalog/tehreglamenty/tr-ts-010-2011" TargetMode="External"/><Relationship Id="rIdj_wl3cnwwe4q_18lmew1_" Type="http://schemas.openxmlformats.org/officeDocument/2006/relationships/hyperlink" Target="https://imexp.ru/katalog/tehreglamenty/tr-eaes-043-2017" TargetMode="External"/><Relationship Id="rIdvajyz7wcvyqexjtaaq52x" Type="http://schemas.openxmlformats.org/officeDocument/2006/relationships/hyperlink" Target="https://imexp.ru/katalog/tehreglamenty/tr-ts-020-2011" TargetMode="External"/><Relationship Id="rIdfnjedtlkif76zlww9u8by" Type="http://schemas.openxmlformats.org/officeDocument/2006/relationships/hyperlink" Target="https://imexp.ru/katalog/tehreglamenty/tr-eaes-037-2016" TargetMode="External"/><Relationship Id="rIdkjmatoafv9ui-s7myvtz5" Type="http://schemas.openxmlformats.org/officeDocument/2006/relationships/hyperlink" Target="https://imexp.ru/katalog/tehreglamenty/tr-ts-010-2011" TargetMode="External"/><Relationship Id="rIdktsel0hwsoabl1zd8leug" Type="http://schemas.openxmlformats.org/officeDocument/2006/relationships/hyperlink" Target="https://imexp.ru/katalog/tehreglamenty/tr-ts-020-2011" TargetMode="External"/><Relationship Id="rIdqnihdtmwr8ury0r0lobov" Type="http://schemas.openxmlformats.org/officeDocument/2006/relationships/hyperlink" Target="https://imexp.ru/katalog/tehreglamenty/tr-eaes-037-2016" TargetMode="External"/><Relationship Id="rIdao6rwzrpe279pcygty_s-" Type="http://schemas.openxmlformats.org/officeDocument/2006/relationships/hyperlink" Target="https://imexp.ru/akty/reshenie-kollegii-eek-154-2019" TargetMode="External"/><Relationship Id="rIdacuzx3gaausyfyegirp4i" Type="http://schemas.openxmlformats.org/officeDocument/2006/relationships/hyperlink" Target="https://imexp.ru/akty/reshenie-soveta-eek-157-2016" TargetMode="External"/><Relationship Id="rId3mp1zymehlslwurxh64ic" Type="http://schemas.openxmlformats.org/officeDocument/2006/relationships/hyperlink" Target="https://imexp.ru/akty/postanovlenie-1287-2022" TargetMode="External"/><Relationship Id="rId5ni_gd_dt-yfr6obpdd8-" Type="http://schemas.openxmlformats.org/officeDocument/2006/relationships/hyperlink" Target="https://imexp.ru/akty/reshenie-kollegii-eek-45-2018" TargetMode="External"/><Relationship Id="rIdjin1_gwi5tlfo0efihstf" Type="http://schemas.openxmlformats.org/officeDocument/2006/relationships/hyperlink" Target="https://imexp.ru/katalog/tehreglamenty/tr-ts-010-2011" TargetMode="External"/><Relationship Id="rIdc9exx414shwsqlwmxijb3" Type="http://schemas.openxmlformats.org/officeDocument/2006/relationships/hyperlink" Target="https://imexp.ru/katalog/tehreglamenty/tr-eaes-043-2017" TargetMode="External"/><Relationship Id="rIdqjc5qpfqs5uiqbx0zs4me" Type="http://schemas.openxmlformats.org/officeDocument/2006/relationships/hyperlink" Target="https://imexp.ru/katalog/tehreglamenty/tr-eaes-037-2016" TargetMode="External"/><Relationship Id="rIdjz4qfqbvvw_xtmcawx-sd" Type="http://schemas.openxmlformats.org/officeDocument/2006/relationships/hyperlink" Target="https://imexp.ru/katalog/tehreglamenty/tr-ts-010-2011" TargetMode="External"/><Relationship Id="rIdc9n1jeljfkhtks7n41ydh" Type="http://schemas.openxmlformats.org/officeDocument/2006/relationships/hyperlink" Target="https://imexp.ru/katalog/tehreglamenty/tr-eaes-043-2017" TargetMode="External"/><Relationship Id="rIdwe93r4m5ixtop0z-2fqxw" Type="http://schemas.openxmlformats.org/officeDocument/2006/relationships/hyperlink" Target="https://imexp.ru/katalog/tehreglamenty/tr-ts-020-2011" TargetMode="External"/><Relationship Id="rIdebow8h4iqjv7capzlcgbw" Type="http://schemas.openxmlformats.org/officeDocument/2006/relationships/hyperlink" Target="https://imexp.ru/akty/reshenie-kts-257-2010" TargetMode="External"/><Relationship Id="rId_u35iuiso3qwdp14f3xfp" Type="http://schemas.openxmlformats.org/officeDocument/2006/relationships/hyperlink" Target="https://imexp.ru/akty/reshenie-kts-378-2010" TargetMode="External"/><Relationship Id="rIdcuy7rkxpusktetkcnojzj" Type="http://schemas.openxmlformats.org/officeDocument/2006/relationships/hyperlink" Target="https://docs.eaeunion.org/documents/253/3910/"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8424 20 000 0</dc:title>
  <dc:creator>IMEXP</dc:creator>
  <cp:lastModifiedBy>Un-named</cp:lastModifiedBy>
  <cp:revision>1</cp:revision>
  <dcterms:created xsi:type="dcterms:W3CDTF">2026-11-05T12:59:01.266Z</dcterms:created>
  <dcterms:modified xsi:type="dcterms:W3CDTF">2026-11-05T12:59:01.266Z</dcterms:modified>
</cp:coreProperties>
</file>

<file path=docProps/custom.xml><?xml version="1.0" encoding="utf-8"?>
<Properties xmlns="http://schemas.openxmlformats.org/officeDocument/2006/custom-properties" xmlns:vt="http://schemas.openxmlformats.org/officeDocument/2006/docPropsVTypes"/>
</file>