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8424 90 000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8424 — 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w:t>
            </w:r>
          </w:p>
          <w:p>
            <w:pPr>
              <w:spacing w:after="60"/>
            </w:pPr>
            <w:r>
              <w:rPr>
                <w:rFonts w:ascii="Arial" w:cs="Arial" w:eastAsia="Arial" w:hAnsi="Arial"/>
                <w:color w:val="5B6472"/>
                <w:sz w:val="17"/>
                <w:szCs w:val="17"/>
              </w:rPr>
              <w:t xml:space="preserve">8424 90 — Части</w:t>
            </w:r>
          </w:p>
          <w:p>
            <w:pPr>
              <w:spacing w:after="60"/>
            </w:pPr>
            <w:r>
              <w:rPr>
                <w:rFonts w:ascii="Arial" w:cs="Arial" w:eastAsia="Arial" w:hAnsi="Arial"/>
                <w:color w:val="5B6472"/>
                <w:sz w:val="17"/>
                <w:szCs w:val="17"/>
              </w:rPr>
              <w:t xml:space="preserve">8424 90 00 — Части</w:t>
            </w:r>
          </w:p>
          <w:p>
            <w:pPr>
              <w:spacing w:after="60"/>
            </w:pPr>
            <w:r>
              <w:rPr>
                <w:rFonts w:ascii="Arial" w:cs="Arial" w:eastAsia="Arial" w:hAnsi="Arial"/>
                <w:b/>
                <w:bCs/>
                <w:sz w:val="19"/>
                <w:szCs w:val="19"/>
              </w:rPr>
              <w:t xml:space="preserve">8424 90 000 0 —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yudjobyqq7hxnwcsguv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bsawvzlnpgqoryrntwk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t0neq-bsdvnwwg8kwctfd">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ig2p7opu9nssqmnh-cbsv">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e83l9yat3dp6kudg9fms">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7etluuwxbau-1qqfvy8p_">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jan0rjb4qbqiwy7rjae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vbnnmh17eaquyx6oe9f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273 и 299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uuksttshk8qvcbgcump6">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vot2afd0tpehgxmepjm8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alwjnf87nsney_my3zi6">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_bhon9mrx-8hxpq_71b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273 (84): ACURA, AE, ALFA LAVAL, ALFA ROMEO, AUDI, BENTLEY, BERAL, BERU, BLUEPRINT, BMW, BOSCH, BREMBO, B&amp;R CAMOZZI, CADILLAC, CHAMPION, CHEVROLET, CHRYSLER, CONTITECH, DAEWOO, DAIHATSU, DATSUN, DAYCO, DELPHI, DENSO, DODGE, elring, FAG, FEBI, FEDERAL MOGUL, FERODO,…</w:t>
            </w:r>
          </w:p>
          <w:p>
            <w:pPr>
              <w:spacing w:after="60"/>
              <w:ind w:left="220" w:hanging="160"/>
            </w:pPr>
            <w:r>
              <w:rPr>
                <w:rFonts w:ascii="Arial" w:cs="Arial" w:eastAsia="Arial" w:hAnsi="Arial"/>
                <w:sz w:val="19"/>
                <w:szCs w:val="19"/>
              </w:rPr>
              <w:t xml:space="preserve">• Пункт 299 (8424): ANSUAL, Ate, BLACK &amp; DECKER, DEWALT, EagleBurgmann, FAIN, FISKARS, GARDENA, HANS PRIES, Husqvarna, ISTOBAL, metabo, NK, NOVENCO, STANLEY, SEMCO, TYCO, SEAPLUS, Vestas, WILHLEMSEN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pr1tzdlzfntmcak8kfz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drmczq88caamzhhhkuh2">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57kbt-n43y0din5ahfmti">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8424 — Оборудование санитарно-гигиеническое, средства перемещения и перевозки 94 5100 (оборудование дезинфекционное; оборудование стерилизационное; оборудование моечное, оборудование для санитарной обработки; оборудование для очистки и обогащения воздуха; средства перемещения и перевозки медицинские…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azxuizene1mcwnk8qnq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nll7nv8p_vooci0afd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pei3pt0fagh0ijjtos6oc">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Машины и оборудование для коммунального хозяйства (касается части товаров кода)</w:t>
            </w:r>
          </w:p>
          <w:p>
            <w:pPr>
              <w:spacing w:after="60"/>
            </w:pPr>
            <w:hyperlink w:history="1" r:id="rIdibe6gcocnacuddmcac4ok">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Дозаторы установок пенного пожаротушения</w:t>
            </w:r>
          </w:p>
          <w:p>
            <w:pPr>
              <w:spacing w:after="60"/>
              <w:ind w:left="220" w:hanging="160"/>
            </w:pPr>
            <w:r>
              <w:rPr>
                <w:rFonts w:ascii="Arial" w:cs="Arial" w:eastAsia="Arial" w:hAnsi="Arial"/>
                <w:sz w:val="19"/>
                <w:szCs w:val="19"/>
              </w:rPr>
              <w:t xml:space="preserve">• сертификат соответствия: Оросители водяные и пенные спринклерные и дренчерные</w:t>
            </w:r>
          </w:p>
          <w:p>
            <w:pPr>
              <w:spacing w:after="60"/>
              <w:ind w:left="220" w:hanging="160"/>
            </w:pPr>
            <w:r>
              <w:rPr>
                <w:rFonts w:ascii="Arial" w:cs="Arial" w:eastAsia="Arial" w:hAnsi="Arial"/>
                <w:sz w:val="19"/>
                <w:szCs w:val="19"/>
              </w:rPr>
              <w:t xml:space="preserve">• сертификат соответствия: Генераторы огнетушащего аэрозоля</w:t>
            </w:r>
          </w:p>
          <w:p>
            <w:pPr>
              <w:spacing w:after="60"/>
              <w:ind w:left="220" w:hanging="160"/>
            </w:pPr>
            <w:r>
              <w:rPr>
                <w:rFonts w:ascii="Arial" w:cs="Arial" w:eastAsia="Arial" w:hAnsi="Arial"/>
                <w:sz w:val="19"/>
                <w:szCs w:val="19"/>
              </w:rPr>
              <w:t xml:space="preserve">• сертификат соответствия: Установки пожаротушения роботизированные</w:t>
            </w:r>
          </w:p>
          <w:p>
            <w:pPr>
              <w:spacing w:after="60"/>
              <w:ind w:left="220" w:hanging="160"/>
            </w:pPr>
            <w:r>
              <w:rPr>
                <w:rFonts w:ascii="Arial" w:cs="Arial" w:eastAsia="Arial" w:hAnsi="Arial"/>
                <w:sz w:val="19"/>
                <w:szCs w:val="19"/>
              </w:rPr>
              <w:t xml:space="preserve">• декларация о соответствии: Пеносмесители</w:t>
            </w:r>
          </w:p>
          <w:p>
            <w:pPr>
              <w:spacing w:after="60"/>
              <w:ind w:left="220" w:hanging="160"/>
            </w:pPr>
            <w:r>
              <w:rPr>
                <w:rFonts w:ascii="Arial" w:cs="Arial" w:eastAsia="Arial" w:hAnsi="Arial"/>
                <w:sz w:val="19"/>
                <w:szCs w:val="19"/>
              </w:rPr>
              <w:t xml:space="preserve">• сертификат соответствия: Стволы пожарные ручные</w:t>
            </w:r>
          </w:p>
          <w:p>
            <w:pPr>
              <w:spacing w:after="60"/>
              <w:ind w:left="220" w:hanging="160"/>
            </w:pPr>
            <w:r>
              <w:rPr>
                <w:rFonts w:ascii="Arial" w:cs="Arial" w:eastAsia="Arial" w:hAnsi="Arial"/>
                <w:sz w:val="19"/>
                <w:szCs w:val="19"/>
              </w:rPr>
              <w:t xml:space="preserve">• сертификат соответствия: Стволы пожарные лафетные</w:t>
            </w:r>
          </w:p>
          <w:p>
            <w:pPr>
              <w:spacing w:after="60"/>
              <w:ind w:left="220" w:hanging="160"/>
            </w:pPr>
            <w:r>
              <w:rPr>
                <w:rFonts w:ascii="Arial" w:cs="Arial" w:eastAsia="Arial" w:hAnsi="Arial"/>
                <w:sz w:val="19"/>
                <w:szCs w:val="19"/>
              </w:rPr>
              <w:t xml:space="preserve">• сертификат соответствия: Генераторы пены</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8424 90 действует сертификатов: 110, деклараций: 222; чаще по </w:t>
            </w:r>
            <w:hyperlink w:history="1" r:id="rIdowaeqkwwry9xeliolycz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ptqv1lp4vo54ecgkstkv8">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iitkqiswri8besuempopq">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g57p7ody01h1dvefbno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1287, пункт 5.8.1 (также в разделе «оборудование»): 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w:t>
            </w:r>
          </w:p>
          <w:p>
            <w:pPr>
              <w:spacing w:after="60"/>
              <w:ind w:left="220" w:hanging="160"/>
            </w:pPr>
            <w:r>
              <w:rPr>
                <w:rFonts w:ascii="Arial" w:cs="Arial" w:eastAsia="Arial" w:hAnsi="Arial"/>
                <w:sz w:val="19"/>
                <w:szCs w:val="19"/>
              </w:rPr>
              <w:t xml:space="preserve">• Постановление № 1287, пункт 5.8.2 (также в разделе «оборудование»): 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образовывать из жидких суспензий первоначальный аэрозоль со средним массовым диаметром…</w:t>
            </w:r>
          </w:p>
          <w:p>
            <w:pPr>
              <w:spacing w:after="60"/>
            </w:pPr>
            <w:hyperlink w:history="1" r:id="rIdrylu3plwhsyuzuh2muska">
              <w:r>
                <w:rPr>
                  <w:rFonts w:ascii="Arial" w:cs="Arial" w:eastAsia="Arial" w:hAnsi="Arial"/>
                  <w:color w:val="1F5FBF"/>
                  <w:sz w:val="17"/>
                  <w:szCs w:val="17"/>
                  <w:u w:val="single"/>
                </w:rPr>
                <w:t xml:space="preserve">Постановление Правительства РФ от 16.07.2022 № 1287</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(9):</w:t>
            </w:r>
          </w:p>
          <w:p>
            <w:pPr>
              <w:spacing w:after="60"/>
              <w:ind w:left="220" w:hanging="160"/>
            </w:pPr>
            <w:r>
              <w:rPr>
                <w:rFonts w:ascii="Arial" w:cs="Arial" w:eastAsia="Arial" w:hAnsi="Arial"/>
                <w:sz w:val="19"/>
                <w:szCs w:val="19"/>
              </w:rPr>
              <w:t xml:space="preserve">• Запорно-пусковое устройство (ЗПУ) предназначено для механического приведения огнетушителя в действие (для прерывания и возобновления подачи огнетушащего вещества (ОТВ)) и распыления ОТВ на горящий объект. Используется в переносных порошковых огнетушителях…</w:t>
            </w:r>
          </w:p>
          <w:p>
            <w:pPr>
              <w:spacing w:after="60"/>
            </w:pPr>
            <w:r>
              <w:rPr>
                <w:rFonts w:ascii="Arial" w:cs="Arial" w:eastAsia="Arial" w:hAnsi="Arial"/>
                <w:color w:val="5B6472"/>
                <w:sz w:val="17"/>
                <w:szCs w:val="17"/>
              </w:rPr>
              <w:t xml:space="preserve">В соответствии с ОПИ 1, 2 а) и 6</w:t>
            </w:r>
          </w:p>
          <w:p>
            <w:pPr>
              <w:spacing w:after="60"/>
              <w:ind w:left="220" w:hanging="160"/>
            </w:pPr>
            <w:r>
              <w:rPr>
                <w:rFonts w:ascii="Arial" w:cs="Arial" w:eastAsia="Arial" w:hAnsi="Arial"/>
                <w:sz w:val="19"/>
                <w:szCs w:val="19"/>
              </w:rPr>
              <w:t xml:space="preserve">• Запорно-пусковое устройство (ЗПУ) предназначено для механического приведения огнетушителя в действие (для прерывания и возобновления подачи огнетушащего вещества (ОТВ)) и распыления ОТВ на горящий объект. Используется в переносных углекислотных огнетушителях…</w:t>
            </w:r>
          </w:p>
          <w:p>
            <w:pPr>
              <w:spacing w:after="60"/>
            </w:pPr>
            <w:r>
              <w:rPr>
                <w:rFonts w:ascii="Arial" w:cs="Arial" w:eastAsia="Arial" w:hAnsi="Arial"/>
                <w:color w:val="5B6472"/>
                <w:sz w:val="17"/>
                <w:szCs w:val="17"/>
              </w:rPr>
              <w:t xml:space="preserve">В соответствии с ОПИ 1, 2 а) и 6</w:t>
            </w:r>
          </w:p>
          <w:p>
            <w:pPr>
              <w:spacing w:after="60"/>
              <w:ind w:left="220" w:hanging="160"/>
            </w:pPr>
            <w:r>
              <w:rPr>
                <w:rFonts w:ascii="Arial" w:cs="Arial" w:eastAsia="Arial" w:hAnsi="Arial"/>
                <w:sz w:val="19"/>
                <w:szCs w:val="19"/>
              </w:rPr>
              <w:t xml:space="preserve">• «Клапан-пакет»/Bag-on-Valves представляет собой комбинированное изделие, состоящее из полимерного пакета со смонтированным аэрозольным клапаном, включающим металлические и полимерные детали, предназначенное для распыления жидких растворов при промывании носа.…</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Запорно-пусковое устройство (ЗПУ) предназначено для приведения огнетушителя в действие - прерывания и возобновления подачи огнетушащего вещества (ОТВ), формирования потока ОТВ и распыления ОТВ на горящий объект. Индикатор предназначен для определения наличия…</w:t>
            </w:r>
          </w:p>
          <w:p>
            <w:pPr>
              <w:spacing w:after="60"/>
            </w:pPr>
            <w:r>
              <w:rPr>
                <w:rFonts w:ascii="Arial" w:cs="Arial" w:eastAsia="Arial" w:hAnsi="Arial"/>
                <w:color w:val="5B6472"/>
                <w:sz w:val="17"/>
                <w:szCs w:val="17"/>
              </w:rPr>
              <w:t xml:space="preserve">В соответствии с ОПИ 1, 2 а) и 6</w:t>
            </w:r>
          </w:p>
          <w:p>
            <w:pPr>
              <w:spacing w:after="60"/>
              <w:ind w:left="220" w:hanging="160"/>
            </w:pPr>
            <w:r>
              <w:rPr>
                <w:rFonts w:ascii="Arial" w:cs="Arial" w:eastAsia="Arial" w:hAnsi="Arial"/>
                <w:sz w:val="19"/>
                <w:szCs w:val="19"/>
              </w:rPr>
              <w:t xml:space="preserve">• Запорно-пусковое устройство (ЗПУ) предназначено для механического приведения огнетушителя в действие (для прерывания и возобновления подачи огнетушащего вещества (ОТВ)) и распыления ОТВ на горящий объект. Устанавливается на баллон огнетушителя и используется…</w:t>
            </w:r>
          </w:p>
          <w:p>
            <w:pPr>
              <w:spacing w:after="60"/>
            </w:pPr>
            <w:r>
              <w:rPr>
                <w:rFonts w:ascii="Arial" w:cs="Arial" w:eastAsia="Arial" w:hAnsi="Arial"/>
                <w:color w:val="5B6472"/>
                <w:sz w:val="17"/>
                <w:szCs w:val="17"/>
              </w:rPr>
              <w:t xml:space="preserve">В соответствии с ОПИ 1, 2 а) и 6</w:t>
            </w:r>
          </w:p>
          <w:p>
            <w:pPr>
              <w:spacing w:after="60"/>
            </w:pPr>
            <w:r>
              <w:rPr>
                <w:rFonts w:ascii="Arial" w:cs="Arial" w:eastAsia="Arial" w:hAnsi="Arial"/>
                <w:color w:val="5B6472"/>
                <w:sz w:val="17"/>
                <w:szCs w:val="17"/>
              </w:rPr>
              <w:t xml:space="preserve">Ещё решений: 4, все — на странице кода.</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Сопла пульпы 38 мм ID Mark V. Материал изготовления: полиуретан+керамическая вставка. Данный товар является частью Флотомашины «Jameson» предполагаемой к установке на Полиметаллической обогатительной фабрике АО «Жайремский ГОК». Данная…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Сопла пульпы 44 мм ID Mark V. Материал изготовления: полиуретан+керамическая вставка. Данный товар является частью Флотомашины «Jameson» предполагаемой к установке на Полиметаллической обогатительной фабрике АО «Жайремский ГОК». Данная…</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votbtsgbajoined1zfygl">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8424900000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vrtv9piwromvve3tsg-o">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ugh15ofvvas3c3qpicgxv">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vpye85lmrlut63kzga-1n">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5-bocjazxgladvy_pgzrg">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8foxtaqhcrmrphqd4dz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qkabedte1djyoy6i3p1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28.29.83 — Части каландров или прочих валковых машин; части распылителей, разновесы для оборудования для взвешивания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https://imexp.ru/katalog/kod/8424900000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yudjobyqq7hxnwcsguvg" Type="http://schemas.openxmlformats.org/officeDocument/2006/relationships/hyperlink" Target="https://docs.eaeunion.org/documents/386/6099/" TargetMode="External"/><Relationship Id="rId0bsawvzlnpgqoryrntwki" Type="http://schemas.openxmlformats.org/officeDocument/2006/relationships/hyperlink" Target="https://docs.eaeunion.org/documents/386/6099/" TargetMode="External"/><Relationship Id="rIdt0neq-bsdvnwwg8kwctfd" Type="http://schemas.openxmlformats.org/officeDocument/2006/relationships/hyperlink" Target="https://eec.eaeunion.org/comission/department/deptexreg/tr/bezopMashines.php" TargetMode="External"/><Relationship Id="rIdig2p7opu9nssqmnh-cbsv" Type="http://schemas.openxmlformats.org/officeDocument/2006/relationships/hyperlink" Target="https://eec.eaeunion.org/comission/department/deptexreg/tr/TR_EAEU_043-2017.php" TargetMode="External"/><Relationship Id="rIdke83l9yat3dp6kudg9fms" Type="http://schemas.openxmlformats.org/officeDocument/2006/relationships/hyperlink" Target="http://publication.pravo.gov.ru/document/0001202203140039" TargetMode="External"/><Relationship Id="rId7etluuwxbau-1qqfvy8p_" Type="http://schemas.openxmlformats.org/officeDocument/2006/relationships/hyperlink" Target="http://publication.pravo.gov.ru/document/0001202410080008" TargetMode="External"/><Relationship Id="rIdijan0rjb4qbqiwy7rjae3" Type="http://schemas.openxmlformats.org/officeDocument/2006/relationships/hyperlink" Target="https://docs.eaeunion.org/documents/335/4666/" TargetMode="External"/><Relationship Id="rId4vbnnmh17eaquyx6oe9fi" Type="http://schemas.openxmlformats.org/officeDocument/2006/relationships/hyperlink" Target="http://publication.pravo.gov.ru/document/0001202308040119" TargetMode="External"/><Relationship Id="rIdxuuksttshk8qvcbgcump6" Type="http://schemas.openxmlformats.org/officeDocument/2006/relationships/hyperlink" Target="https://eur-lex.europa.eu/eli/reg/2014/833/oj/eng" TargetMode="External"/><Relationship Id="rIdvot2afd0tpehgxmepjm8x" Type="http://schemas.openxmlformats.org/officeDocument/2006/relationships/hyperlink" Target="https://www.legislation.gov.uk/uksi/2019/855/contents" TargetMode="External"/><Relationship Id="rIdwalwjnf87nsney_my3zi6" Type="http://schemas.openxmlformats.org/officeDocument/2006/relationships/hyperlink" Target="https://www.ecfr.gov/current/title-15/subtitle-B/chapter-VII/subchapter-C/part-746" TargetMode="External"/><Relationship Id="rIda_bhon9mrx-8hxpq_71bj" Type="http://schemas.openxmlformats.org/officeDocument/2006/relationships/hyperlink" Target="http://publication.pravo.gov.ru/document/0001202308040119" TargetMode="External"/><Relationship Id="rIdwpr1tzdlzfntmcak8kfzq" Type="http://schemas.openxmlformats.org/officeDocument/2006/relationships/hyperlink" Target="https://docs.eaeunion.org/documents/386/6099/" TargetMode="External"/><Relationship Id="rIdldrmczq88caamzhhhkuh2" Type="http://schemas.openxmlformats.org/officeDocument/2006/relationships/hyperlink" Target="https://docs.eaeunion.org/documents/317/2804/" TargetMode="External"/><Relationship Id="rId57kbt-n43y0din5ahfmti" Type="http://schemas.openxmlformats.org/officeDocument/2006/relationships/hyperlink" Target="http://publication.pravo.gov.ru/document/0001201510050001" TargetMode="External"/><Relationship Id="rId5azxuizene1mcwnk8qnql" Type="http://schemas.openxmlformats.org/officeDocument/2006/relationships/hyperlink" Target="http://publication.pravo.gov.ru/document/0001202411290098" TargetMode="External"/><Relationship Id="rIdanll7nv8p_vooci0afdo-" Type="http://schemas.openxmlformats.org/officeDocument/2006/relationships/hyperlink" Target="http://publication.pravo.gov.ru/document/0001201805040007" TargetMode="External"/><Relationship Id="rIdpei3pt0fagh0ijjtos6oc" Type="http://schemas.openxmlformats.org/officeDocument/2006/relationships/hyperlink" Target="https://eec.eaeunion.org/comission/department/deptexreg/tr/bezopMashines.php" TargetMode="External"/><Relationship Id="rIdibe6gcocnacuddmcac4ok" Type="http://schemas.openxmlformats.org/officeDocument/2006/relationships/hyperlink" Target="https://eec.eaeunion.org/comission/department/deptexreg/tr/TR_EAEU_043-2017.php" TargetMode="External"/><Relationship Id="rIdowaeqkwwry9xeliolyczm" Type="http://schemas.openxmlformats.org/officeDocument/2006/relationships/hyperlink" Target="https://eec.eaeunion.org/comission/department/deptexreg/tr/bezopMashines.php" TargetMode="External"/><Relationship Id="rIdptqv1lp4vo54ecgkstkv8" Type="http://schemas.openxmlformats.org/officeDocument/2006/relationships/hyperlink" Target="https://eec.eaeunion.org/comission/department/deptexreg/tr/TR_EAEU_043-2017.php" TargetMode="External"/><Relationship Id="rIdiitkqiswri8besuempopq" Type="http://schemas.openxmlformats.org/officeDocument/2006/relationships/hyperlink" Target="https://eec.eaeunion.org/comission/department/deptexreg/tr/EMS.php" TargetMode="External"/><Relationship Id="rId-g57p7ody01h1dvefbnom" Type="http://schemas.openxmlformats.org/officeDocument/2006/relationships/hyperlink" Target="https://docs.eaeunion.org/documents/335/4666/" TargetMode="External"/><Relationship Id="rIdrylu3plwhsyuzuh2muska" Type="http://schemas.openxmlformats.org/officeDocument/2006/relationships/hyperlink" Target="http://publication.pravo.gov.ru/document/0001202207190030" TargetMode="External"/><Relationship Id="rIdvotbtsgbajoined1zfygl" Type="http://schemas.openxmlformats.org/officeDocument/2006/relationships/hyperlink" Target="https://docs.eaeunion.org/documents/253/3575/" TargetMode="External"/><Relationship Id="rIdpvrtv9piwromvve3tsg-o" Type="http://schemas.openxmlformats.org/officeDocument/2006/relationships/hyperlink" Target="https://eec.eaeunion.org/comission/department/deptexreg/tr/bezopMashines.php" TargetMode="External"/><Relationship Id="rIdugh15ofvvas3c3qpicgxv" Type="http://schemas.openxmlformats.org/officeDocument/2006/relationships/hyperlink" Target="https://eec.eaeunion.org/comission/department/deptexreg/tr/TR_EAEU_043-2017.php" TargetMode="External"/><Relationship Id="rIdvpye85lmrlut63kzga-1n" Type="http://schemas.openxmlformats.org/officeDocument/2006/relationships/hyperlink" Target="https://eec.eaeunion.org/comission/department/deptexreg/tr/bezopMashines.php" TargetMode="External"/><Relationship Id="rId5-bocjazxgladvy_pgzrg" Type="http://schemas.openxmlformats.org/officeDocument/2006/relationships/hyperlink" Target="https://eec.eaeunion.org/comission/department/deptexreg/tr/TR_EAEU_043-2017.php" TargetMode="External"/><Relationship Id="rIdw8foxtaqhcrmrphqd4dzl" Type="http://schemas.openxmlformats.org/officeDocument/2006/relationships/hyperlink" Target="https://docs.eaeunion.org/documents/214/946/" TargetMode="External"/><Relationship Id="rIdgqkabedte1djyoy6i3p1f" Type="http://schemas.openxmlformats.org/officeDocument/2006/relationships/hyperlink" Target="https://docs.eaeunion.org/documents/208/8939/"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8424 90 000 0</dc:title>
  <dc:creator>IMEXP</dc:creator>
  <cp:lastModifiedBy>Un-named</cp:lastModifiedBy>
  <cp:revision>1</cp:revision>
  <dcterms:created xsi:type="dcterms:W3CDTF">2026-11-02T02:16:17.964Z</dcterms:created>
  <dcterms:modified xsi:type="dcterms:W3CDTF">2026-11-02T02:16:17.964Z</dcterms:modified>
</cp:coreProperties>
</file>

<file path=docProps/custom.xml><?xml version="1.0" encoding="utf-8"?>
<Properties xmlns="http://schemas.openxmlformats.org/officeDocument/2006/custom-properties" xmlns:vt="http://schemas.openxmlformats.org/officeDocument/2006/docPropsVTypes"/>
</file>