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8424 90 000 0</w:t>
      </w:r>
    </w:p>
    <w:p>
      <w:pPr>
        <w:spacing w:after="200"/>
      </w:pPr>
      <w:r>
        <w:rPr>
          <w:rFonts w:ascii="Arial" w:cs="Arial" w:eastAsia="Arial" w:hAnsi="Arial"/>
          <w:color w:val="5B6472"/>
          <w:sz w:val="19"/>
          <w:szCs w:val="19"/>
        </w:rPr>
        <w:t xml:space="preserve">Сведения на 02.11.2026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 Машины, оборудование и механизмы; электротехническое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84 — РЕАКТОРЫ ЯДЕРНЫЕ, КОТЛЫ, ОБОРУДОВАНИЕ И МЕХАНИЧЕСКИЕ УСТРОЙСТВА; ИХ ЧАСТИ</w:t>
            </w:r>
          </w:p>
          <w:p>
            <w:pPr>
              <w:spacing w:after="60"/>
            </w:pPr>
            <w:r>
              <w:rPr>
                <w:rFonts w:ascii="Arial" w:cs="Arial" w:eastAsia="Arial" w:hAnsi="Arial"/>
                <w:color w:val="5B6472"/>
                <w:sz w:val="17"/>
                <w:szCs w:val="17"/>
              </w:rPr>
              <w:t xml:space="preserve">8424 — 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w:t>
            </w:r>
          </w:p>
          <w:p>
            <w:pPr>
              <w:spacing w:after="60"/>
            </w:pPr>
            <w:r>
              <w:rPr>
                <w:rFonts w:ascii="Arial" w:cs="Arial" w:eastAsia="Arial" w:hAnsi="Arial"/>
                <w:color w:val="5B6472"/>
                <w:sz w:val="17"/>
                <w:szCs w:val="17"/>
              </w:rPr>
              <w:t xml:space="preserve">8424 90 — Части</w:t>
            </w:r>
          </w:p>
          <w:p>
            <w:pPr>
              <w:spacing w:after="60"/>
            </w:pPr>
            <w:r>
              <w:rPr>
                <w:rFonts w:ascii="Arial" w:cs="Arial" w:eastAsia="Arial" w:hAnsi="Arial"/>
                <w:color w:val="5B6472"/>
                <w:sz w:val="17"/>
                <w:szCs w:val="17"/>
              </w:rPr>
              <w:t xml:space="preserve">8424 90 00 — Части</w:t>
            </w:r>
          </w:p>
          <w:p>
            <w:pPr>
              <w:spacing w:after="60"/>
            </w:pPr>
            <w:r>
              <w:rPr>
                <w:rFonts w:ascii="Arial" w:cs="Arial" w:eastAsia="Arial" w:hAnsi="Arial"/>
                <w:b/>
                <w:bCs/>
                <w:sz w:val="19"/>
                <w:szCs w:val="19"/>
              </w:rPr>
              <w:t xml:space="preserve">8424 90 000 0 — Части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s3viq-4l6vpfqk5toba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1ufw2and2t40-mvt3eu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Разрешение по экспортному контролю — </w:t>
            </w:r>
            <w:hyperlink w:history="1" r:id="rIdy6ry-mnocddg_9g5mbcfq">
              <w:r>
                <w:rPr>
                  <w:rFonts w:ascii="Arial" w:cs="Arial" w:eastAsia="Arial" w:hAnsi="Arial"/>
                  <w:color w:val="1F5FBF"/>
                  <w:sz w:val="19"/>
                  <w:szCs w:val="19"/>
                  <w:u w:val="single"/>
                </w:rPr>
                <w:t xml:space="preserve">Постановление Правительства РФ от 16.07.2022 № 1287</w:t>
              </w:r>
            </w:hyperlink>
            <w:r>
              <w:rPr>
                <w:rFonts w:ascii="Arial" w:cs="Arial" w:eastAsia="Arial" w:hAnsi="Arial"/>
                <w:sz w:val="19"/>
                <w:szCs w:val="19"/>
              </w:rPr>
              <w:t xml:space="preserve">, пункты 5.8.1 и 5.8.2 (если товар относится к этому виду)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ЕС: </w:t>
            </w:r>
            <w:hyperlink w:history="1" r:id="rIdsnig2w_robmszski8xsxk">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 (товары, приносящие доход)</w:t>
            </w:r>
          </w:p>
          <w:p>
            <w:pPr>
              <w:spacing w:after="60"/>
              <w:ind w:left="220" w:hanging="160"/>
            </w:pPr>
            <w:r>
              <w:rPr>
                <w:rFonts w:ascii="Arial" w:cs="Arial" w:eastAsia="Arial" w:hAnsi="Arial"/>
                <w:sz w:val="19"/>
                <w:szCs w:val="19"/>
              </w:rPr>
              <w:t xml:space="preserve">• Великобритания: </w:t>
            </w:r>
            <w:hyperlink w:history="1" r:id="rId99b0hp76wszgwj9g26eiv">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3D (товары, приносящие доход)</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q0ezfybr7ikvs8k6jlnxg">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вывоза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1287, пункт 5.8.1 (также в разделе «оборудование»): Распыливающее или туманообразующее оборудование, специально сконструированное или модифицированное для установки на самолеты, летательные аппараты легче воздуха или беспилотные летательные аппараты, способное образовывать из жидких суспензий инфекционные аэрозоли со средним массовым диаметром…</w:t>
            </w:r>
          </w:p>
          <w:p>
            <w:pPr>
              <w:spacing w:after="60"/>
              <w:ind w:left="220" w:hanging="160"/>
            </w:pPr>
            <w:r>
              <w:rPr>
                <w:rFonts w:ascii="Arial" w:cs="Arial" w:eastAsia="Arial" w:hAnsi="Arial"/>
                <w:sz w:val="19"/>
                <w:szCs w:val="19"/>
              </w:rPr>
              <w:t xml:space="preserve">• Постановление № 1287, пункт 5.8.2 (также в разделе «оборудование»): Распыливающие штанги или наборы распыливающих узлов, специально сконструированные или модифицированные для установки на самолеты, летательные аппараты легче воздуха или беспилотные летательные аппараты, способные образовывать из жидких суспензий первоначальный аэрозоль со средним массовым диаметром…</w:t>
            </w:r>
          </w:p>
          <w:p>
            <w:pPr>
              <w:spacing w:after="60"/>
            </w:pPr>
            <w:hyperlink w:history="1" r:id="rIdfaxvu_ltmucvtyen2kfwe">
              <w:r>
                <w:rPr>
                  <w:rFonts w:ascii="Arial" w:cs="Arial" w:eastAsia="Arial" w:hAnsi="Arial"/>
                  <w:color w:val="1F5FBF"/>
                  <w:sz w:val="17"/>
                  <w:szCs w:val="17"/>
                  <w:u w:val="single"/>
                </w:rPr>
                <w:t xml:space="preserve">Постановление Правительства РФ от 16.07.2022 № 1287</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подкарантинной продукции, ветеринарного надзора и обязательной маркировки.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(9):</w:t>
            </w:r>
          </w:p>
          <w:p>
            <w:pPr>
              <w:spacing w:after="60"/>
              <w:ind w:left="220" w:hanging="160"/>
            </w:pPr>
            <w:r>
              <w:rPr>
                <w:rFonts w:ascii="Arial" w:cs="Arial" w:eastAsia="Arial" w:hAnsi="Arial"/>
                <w:sz w:val="19"/>
                <w:szCs w:val="19"/>
              </w:rPr>
              <w:t xml:space="preserve">• Запорно-пусковое устройство (ЗПУ) предназначено для механического приведения огнетушителя в действие (для прерывания и возобновления подачи огнетушащего вещества (ОТВ)) и распыления ОТВ на горящий объект. Используется в переносных порошковых огнетушителях…</w:t>
            </w:r>
          </w:p>
          <w:p>
            <w:pPr>
              <w:spacing w:after="60"/>
            </w:pPr>
            <w:r>
              <w:rPr>
                <w:rFonts w:ascii="Arial" w:cs="Arial" w:eastAsia="Arial" w:hAnsi="Arial"/>
                <w:color w:val="5B6472"/>
                <w:sz w:val="17"/>
                <w:szCs w:val="17"/>
              </w:rPr>
              <w:t xml:space="preserve">В соответствии с ОПИ 1, 2 а) и 6</w:t>
            </w:r>
          </w:p>
          <w:p>
            <w:pPr>
              <w:spacing w:after="60"/>
              <w:ind w:left="220" w:hanging="160"/>
            </w:pPr>
            <w:r>
              <w:rPr>
                <w:rFonts w:ascii="Arial" w:cs="Arial" w:eastAsia="Arial" w:hAnsi="Arial"/>
                <w:sz w:val="19"/>
                <w:szCs w:val="19"/>
              </w:rPr>
              <w:t xml:space="preserve">• Запорно-пусковое устройство (ЗПУ) предназначено для механического приведения огнетушителя в действие (для прерывания и возобновления подачи огнетушащего вещества (ОТВ)) и распыления ОТВ на горящий объект. Используется в переносных углекислотных огнетушителях…</w:t>
            </w:r>
          </w:p>
          <w:p>
            <w:pPr>
              <w:spacing w:after="60"/>
            </w:pPr>
            <w:r>
              <w:rPr>
                <w:rFonts w:ascii="Arial" w:cs="Arial" w:eastAsia="Arial" w:hAnsi="Arial"/>
                <w:color w:val="5B6472"/>
                <w:sz w:val="17"/>
                <w:szCs w:val="17"/>
              </w:rPr>
              <w:t xml:space="preserve">В соответствии с ОПИ 1, 2 а) и 6</w:t>
            </w:r>
          </w:p>
          <w:p>
            <w:pPr>
              <w:spacing w:after="60"/>
              <w:ind w:left="220" w:hanging="160"/>
            </w:pPr>
            <w:r>
              <w:rPr>
                <w:rFonts w:ascii="Arial" w:cs="Arial" w:eastAsia="Arial" w:hAnsi="Arial"/>
                <w:sz w:val="19"/>
                <w:szCs w:val="19"/>
              </w:rPr>
              <w:t xml:space="preserve">• «Клапан-пакет»/Bag-on-Valves представляет собой комбинированное изделие, состоящее из полимерного пакета со смонтированным аэрозольным клапаном, включающим металлические и полимерные детали, предназначенное для распыления жидких растворов при промывании носа.…</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Запорно-пусковое устройство (ЗПУ) предназначено для приведения огнетушителя в действие - прерывания и возобновления подачи огнетушащего вещества (ОТВ), формирования потока ОТВ и распыления ОТВ на горящий объект. Индикатор предназначен для определения наличия…</w:t>
            </w:r>
          </w:p>
          <w:p>
            <w:pPr>
              <w:spacing w:after="60"/>
            </w:pPr>
            <w:r>
              <w:rPr>
                <w:rFonts w:ascii="Arial" w:cs="Arial" w:eastAsia="Arial" w:hAnsi="Arial"/>
                <w:color w:val="5B6472"/>
                <w:sz w:val="17"/>
                <w:szCs w:val="17"/>
              </w:rPr>
              <w:t xml:space="preserve">В соответствии с ОПИ 1, 2 а) и 6</w:t>
            </w:r>
          </w:p>
          <w:p>
            <w:pPr>
              <w:spacing w:after="60"/>
              <w:ind w:left="220" w:hanging="160"/>
            </w:pPr>
            <w:r>
              <w:rPr>
                <w:rFonts w:ascii="Arial" w:cs="Arial" w:eastAsia="Arial" w:hAnsi="Arial"/>
                <w:sz w:val="19"/>
                <w:szCs w:val="19"/>
              </w:rPr>
              <w:t xml:space="preserve">• Запорно-пусковое устройство (ЗПУ) предназначено для механического приведения огнетушителя в действие (для прерывания и возобновления подачи огнетушащего вещества (ОТВ)) и распыления ОТВ на горящий объект. Устанавливается на баллон огнетушителя и используется…</w:t>
            </w:r>
          </w:p>
          <w:p>
            <w:pPr>
              <w:spacing w:after="60"/>
            </w:pPr>
            <w:r>
              <w:rPr>
                <w:rFonts w:ascii="Arial" w:cs="Arial" w:eastAsia="Arial" w:hAnsi="Arial"/>
                <w:color w:val="5B6472"/>
                <w:sz w:val="17"/>
                <w:szCs w:val="17"/>
              </w:rPr>
              <w:t xml:space="preserve">В соответствии с ОПИ 1, 2 а) и 6</w:t>
            </w:r>
          </w:p>
          <w:p>
            <w:pPr>
              <w:spacing w:after="60"/>
            </w:pPr>
            <w:r>
              <w:rPr>
                <w:rFonts w:ascii="Arial" w:cs="Arial" w:eastAsia="Arial" w:hAnsi="Arial"/>
                <w:color w:val="5B6472"/>
                <w:sz w:val="17"/>
                <w:szCs w:val="17"/>
              </w:rPr>
              <w:t xml:space="preserve">Ещё решений: 4, все — на странице кода.</w:t>
            </w:r>
          </w:p>
          <w:p>
            <w:pPr>
              <w:spacing w:after="60"/>
            </w:pPr>
            <w:r>
              <w:rPr>
                <w:rFonts w:ascii="Arial" w:cs="Arial" w:eastAsia="Arial" w:hAnsi="Arial"/>
                <w:b/>
                <w:bCs/>
                <w:sz w:val="19"/>
                <w:szCs w:val="19"/>
              </w:rPr>
              <w:t xml:space="preserve">Предварительные решения других стран ЕАЭС (2);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Сопла пульпы 38 мм ID Mark V. Материал изготовления: полиуретан+керамическая вставка. Данный товар является частью Флотомашины «Jameson» предполагаемой к установке на Полиметаллической обогатительной фабрике АО «Жайремский ГОК». Данная…</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Сопла пульпы 44 мм ID Mark V. Материал изготовления: полиуретан+керамическая вставка. Данный товар является частью Флотомашины «Jameson» предполагаемой к установке на Полиметаллической обогатительной фабрике АО «Жайремский ГОК». Данная…</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utscyxbybuucrjn5ns6qx">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8424900000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01151 — Лицензия, перечень (приложение) к лицензии на ввоз (вывоз) товаров, подлежащих экспортному контролю, выданные уполномоченным государственным органом государств - членов Евразийского экономического союза · </w:t>
            </w:r>
            <w:hyperlink w:history="1" r:id="rIdrmyno72tgdkwqvrl3qtfd">
              <w:r>
                <w:rPr>
                  <w:rFonts w:ascii="Arial" w:cs="Arial" w:eastAsia="Arial" w:hAnsi="Arial"/>
                  <w:color w:val="1F5FBF"/>
                  <w:sz w:val="19"/>
                  <w:szCs w:val="19"/>
                  <w:u w:val="single"/>
                </w:rPr>
                <w:t xml:space="preserve">Постановление Правительства РФ от 16.07.2022 № 1287</w:t>
              </w:r>
            </w:hyperlink>
            <w:r>
              <w:rPr>
                <w:rFonts w:ascii="Arial" w:cs="Arial" w:eastAsia="Arial" w:hAnsi="Arial"/>
                <w:sz w:val="19"/>
                <w:szCs w:val="19"/>
              </w:rPr>
              <w:t xml:space="preserve">, пункты 5.8.1 и 5.8.2</w:t>
            </w:r>
          </w:p>
          <w:p>
            <w:pPr>
              <w:spacing w:after="60"/>
              <w:ind w:left="220" w:hanging="160"/>
            </w:pPr>
            <w:r>
              <w:rPr>
                <w:rFonts w:ascii="Arial" w:cs="Arial" w:eastAsia="Arial" w:hAnsi="Arial"/>
                <w:sz w:val="19"/>
                <w:szCs w:val="19"/>
              </w:rPr>
              <w:t xml:space="preserve">• 01153 — Разрешение (подтверждение) на ввоз (вывоз) товаров, подлежащих экспортному контролю, выданное уполномоченным государственным органом государств - членов Евразийского экономического союза в области экспортного контроля · </w:t>
            </w:r>
            <w:hyperlink w:history="1" r:id="rIdmhyr_echuhn49ye1geo2y">
              <w:r>
                <w:rPr>
                  <w:rFonts w:ascii="Arial" w:cs="Arial" w:eastAsia="Arial" w:hAnsi="Arial"/>
                  <w:color w:val="1F5FBF"/>
                  <w:sz w:val="19"/>
                  <w:szCs w:val="19"/>
                  <w:u w:val="single"/>
                </w:rPr>
                <w:t xml:space="preserve">Постановление Правительства РФ от 16.07.2022 № 1287</w:t>
              </w:r>
            </w:hyperlink>
            <w:r>
              <w:rPr>
                <w:rFonts w:ascii="Arial" w:cs="Arial" w:eastAsia="Arial" w:hAnsi="Arial"/>
                <w:sz w:val="19"/>
                <w:szCs w:val="19"/>
              </w:rPr>
              <w:t xml:space="preserve">, пункты 5.8.1 и 5.8.2</w:t>
            </w:r>
          </w:p>
          <w:p>
            <w:pPr>
              <w:spacing w:after="60"/>
              <w:ind w:left="220" w:hanging="160"/>
            </w:pPr>
            <w:r>
              <w:rPr>
                <w:rFonts w:ascii="Arial" w:cs="Arial" w:eastAsia="Arial" w:hAnsi="Arial"/>
                <w:sz w:val="19"/>
                <w:szCs w:val="19"/>
              </w:rPr>
              <w:t xml:space="preserve">• 01154 — Заключение (идентификационное), выдаваемое в соответствии с законодательством в области экспортного контроля государств - членов Евразийского экономического союза, о непринадлежности товаров к товарам, включенным в единые списки контролируемых товаров и технологий · если товар не входит в контрольные списки</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cdzh7yuuhsxdoubf--do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nuum-hrx5szvybwsxmjh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28.29.83 — Части каландров или прочих валковых машин; части распылителей, разновесы для оборудования для взвешивания</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https://imexp.ru/katalog/kod/8424900000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s3viq-4l6vpfqk5tobat" Type="http://schemas.openxmlformats.org/officeDocument/2006/relationships/hyperlink" Target="https://docs.eaeunion.org/documents/386/6099/" TargetMode="External"/><Relationship Id="rId51ufw2and2t40-mvt3euz" Type="http://schemas.openxmlformats.org/officeDocument/2006/relationships/hyperlink" Target="https://docs.eaeunion.org/documents/386/6099/" TargetMode="External"/><Relationship Id="rIdy6ry-mnocddg_9g5mbcfq" Type="http://schemas.openxmlformats.org/officeDocument/2006/relationships/hyperlink" Target="http://publication.pravo.gov.ru/document/0001202207190030" TargetMode="External"/><Relationship Id="rIdsnig2w_robmszski8xsxk" Type="http://schemas.openxmlformats.org/officeDocument/2006/relationships/hyperlink" Target="https://eur-lex.europa.eu/eli/reg/2014/833/oj/eng" TargetMode="External"/><Relationship Id="rId99b0hp76wszgwj9g26eiv" Type="http://schemas.openxmlformats.org/officeDocument/2006/relationships/hyperlink" Target="https://www.legislation.gov.uk/uksi/2019/855/contents" TargetMode="External"/><Relationship Id="rIdq0ezfybr7ikvs8k6jlnxg" Type="http://schemas.openxmlformats.org/officeDocument/2006/relationships/hyperlink" Target="http://publication.pravo.gov.ru/document/0001202411290098" TargetMode="External"/><Relationship Id="rIdfaxvu_ltmucvtyen2kfwe" Type="http://schemas.openxmlformats.org/officeDocument/2006/relationships/hyperlink" Target="http://publication.pravo.gov.ru/document/0001202207190030" TargetMode="External"/><Relationship Id="rIdutscyxbybuucrjn5ns6qx" Type="http://schemas.openxmlformats.org/officeDocument/2006/relationships/hyperlink" Target="https://docs.eaeunion.org/documents/253/3575/" TargetMode="External"/><Relationship Id="rIdrmyno72tgdkwqvrl3qtfd" Type="http://schemas.openxmlformats.org/officeDocument/2006/relationships/hyperlink" Target="http://publication.pravo.gov.ru/document/0001202207190030" TargetMode="External"/><Relationship Id="rIdmhyr_echuhn49ye1geo2y" Type="http://schemas.openxmlformats.org/officeDocument/2006/relationships/hyperlink" Target="http://publication.pravo.gov.ru/document/0001202207190030" TargetMode="External"/><Relationship Id="rIdcdzh7yuuhsxdoubf--dod" Type="http://schemas.openxmlformats.org/officeDocument/2006/relationships/hyperlink" Target="https://docs.eaeunion.org/documents/214/946/" TargetMode="External"/><Relationship Id="rIdnuum-hrx5szvybwsxmjhr" Type="http://schemas.openxmlformats.org/officeDocument/2006/relationships/hyperlink" Target="https://docs.eaeunion.org/documents/208/8939/"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8424 90 000 0: вывоз</dc:title>
  <dc:creator>IMEXP</dc:creator>
  <cp:lastModifiedBy>Un-named</cp:lastModifiedBy>
  <cp:revision>1</cp:revision>
  <dcterms:created xsi:type="dcterms:W3CDTF">2026-11-02T02:17:21.795Z</dcterms:created>
  <dcterms:modified xsi:type="dcterms:W3CDTF">2026-11-02T02:17:21.795Z</dcterms:modified>
</cp:coreProperties>
</file>

<file path=docProps/custom.xml><?xml version="1.0" encoding="utf-8"?>
<Properties xmlns="http://schemas.openxmlformats.org/officeDocument/2006/custom-properties" xmlns:vt="http://schemas.openxmlformats.org/officeDocument/2006/docPropsVTypes"/>
</file>