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8471 50 000 0</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 Машины, оборудование и механизмы; электротехническое оборудование; их части; звукозаписывающая и звуковоспроизводящая аппаратура, аппаратура для записи и воспроизведения телевизионного изображения и звука, их части и принадлежности</w:t>
            </w:r>
          </w:p>
          <w:p>
            <w:pPr>
              <w:spacing w:after="60"/>
            </w:pPr>
            <w:r>
              <w:rPr>
                <w:rFonts w:ascii="Arial" w:cs="Arial" w:eastAsia="Arial" w:hAnsi="Arial"/>
                <w:color w:val="5B6472"/>
                <w:sz w:val="17"/>
                <w:szCs w:val="17"/>
              </w:rPr>
              <w:t xml:space="preserve">84 — РЕАКТОРЫ ЯДЕРНЫЕ, КОТЛЫ, ОБОРУДОВАНИЕ И МЕХАНИЧЕСКИЕ УСТРОЙСТВА; ИХ ЧАСТИ</w:t>
            </w:r>
          </w:p>
          <w:p>
            <w:pPr>
              <w:spacing w:after="60"/>
            </w:pPr>
            <w:r>
              <w:rPr>
                <w:rFonts w:ascii="Arial" w:cs="Arial" w:eastAsia="Arial" w:hAnsi="Arial"/>
                <w:color w:val="5B6472"/>
                <w:sz w:val="17"/>
                <w:szCs w:val="17"/>
              </w:rPr>
              <w:t xml:space="preserve">8471 — 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p>
            <w:pPr>
              <w:spacing w:after="60"/>
            </w:pPr>
            <w:r>
              <w:rPr>
                <w:rFonts w:ascii="Arial" w:cs="Arial" w:eastAsia="Arial" w:hAnsi="Arial"/>
                <w:color w:val="5B6472"/>
                <w:sz w:val="17"/>
                <w:szCs w:val="17"/>
              </w:rPr>
              <w:t xml:space="preserve">8471 50 — Блоки обработки данных, отличные от описанных в субпозиции 8471 41 или 8471 49, содержащие или не содержащие в одном корпусе одно или два из следующих устройств: запоминающие устройства, устройства ввода, устройства вывода</w:t>
            </w:r>
          </w:p>
          <w:p>
            <w:pPr>
              <w:spacing w:after="60"/>
            </w:pPr>
            <w:r>
              <w:rPr>
                <w:rFonts w:ascii="Arial" w:cs="Arial" w:eastAsia="Arial" w:hAnsi="Arial"/>
                <w:color w:val="5B6472"/>
                <w:sz w:val="17"/>
                <w:szCs w:val="17"/>
              </w:rPr>
              <w:t xml:space="preserve">8471 50 00 — Блоки обработки данных, отличные от описанных в субпозиции 8471 41 или 8471 49, содержащие или не содержащие в одном корпусе одно или два из следующих устройств: запоминающие устройства, устройства ввода, устройства вывода</w:t>
            </w:r>
          </w:p>
          <w:p>
            <w:pPr>
              <w:spacing w:after="60"/>
            </w:pPr>
            <w:r>
              <w:rPr>
                <w:rFonts w:ascii="Arial" w:cs="Arial" w:eastAsia="Arial" w:hAnsi="Arial"/>
                <w:b/>
                <w:bCs/>
                <w:sz w:val="19"/>
                <w:szCs w:val="19"/>
              </w:rPr>
              <w:t xml:space="preserve">8471 50 000 0 — Блоки обработки данных, отличные от описанных в субпозиции 8471 41 или 8471 49, содержащие или не содержащие в одном корпусе одно или два из следующих устройств: запоминающие устройства, устройства ввода, устройства вывода</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dbsxad7xiq92xj1p0um_a">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a0qfp2omnph2hg44es8i5">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niirzudio-o5t3_exppxx">
              <w:r>
                <w:rPr>
                  <w:rFonts w:ascii="Arial" w:cs="Arial" w:eastAsia="Arial" w:hAnsi="Arial"/>
                  <w:color w:val="1F5FBF"/>
                  <w:sz w:val="19"/>
                  <w:szCs w:val="19"/>
                  <w:u w:val="single"/>
                </w:rPr>
                <w:t xml:space="preserve">ТР ЕАЭС 037/2016</w:t>
              </w:r>
            </w:hyperlink>
          </w:p>
          <w:p>
            <w:pPr>
              <w:spacing w:after="60"/>
              <w:ind w:left="220" w:hanging="160"/>
            </w:pPr>
            <w:r>
              <w:rPr>
                <w:rFonts w:ascii="Arial" w:cs="Arial" w:eastAsia="Arial" w:hAnsi="Arial"/>
                <w:sz w:val="19"/>
                <w:szCs w:val="19"/>
              </w:rPr>
              <w:t xml:space="preserve">• Сертификат соответствия — </w:t>
            </w:r>
            <w:hyperlink w:history="1" r:id="rIdv62s7dvizx6ia42psrqwz">
              <w:r>
                <w:rPr>
                  <w:rFonts w:ascii="Arial" w:cs="Arial" w:eastAsia="Arial" w:hAnsi="Arial"/>
                  <w:color w:val="1F5FBF"/>
                  <w:sz w:val="19"/>
                  <w:szCs w:val="19"/>
                  <w:u w:val="single"/>
                </w:rPr>
                <w:t xml:space="preserve">ТР ЕАЭС 050/2021</w:t>
              </w:r>
            </w:hyperlink>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nu3yxqkmubmrsmurrzg6n">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rnxkoyvbjkr_drnyw5xhr">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t0fy2jzkyilwdpop1cuqb">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разделы 2.16, 2.17 и 2.19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taiyiuygsv3zvrtbx2-no">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273 и 330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3j-kshwmiam7fsizq-15v">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 (касается части товаров кода); Регламент Совета ЕС № 833/2014, приложение XL (приоритетные товары)</w:t>
            </w:r>
          </w:p>
          <w:p>
            <w:pPr>
              <w:spacing w:after="60"/>
              <w:ind w:left="220" w:hanging="160"/>
            </w:pPr>
            <w:r>
              <w:rPr>
                <w:rFonts w:ascii="Arial" w:cs="Arial" w:eastAsia="Arial" w:hAnsi="Arial"/>
                <w:sz w:val="19"/>
                <w:szCs w:val="19"/>
              </w:rPr>
              <w:t xml:space="preserve">• Великобритания: </w:t>
            </w:r>
            <w:hyperlink w:history="1" r:id="rIdgc81lpleti-bp_kb5g5vj">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irunqlxg59rmrsgnqslcj">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 Правила экспортного контроля США (EAR), часть 746, дополнение № 5 (предметы роскоши) (дороже порога цены из приложения)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mnv37_1nnv6mhlmeleoax">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273 (84): ACURA, AE, ALFA LAVAL, ALFA ROMEO, AUDI, BENTLEY, BERAL, BERU, BLUEPRINT, BMW, BOSCH, BREMBO, B&amp;R CAMOZZI, CADILLAC, CHAMPION, CHEVROLET, CHRYSLER, CONTITECH, DAEWOO, DAIHATSU, DATSUN, DAYCO, DELPHI, DENSO, DODGE, elring, FAG, FEBI, FEDERAL MOGUL, FERODO,…</w:t>
            </w:r>
          </w:p>
          <w:p>
            <w:pPr>
              <w:spacing w:after="60"/>
              <w:ind w:left="220" w:hanging="160"/>
            </w:pPr>
            <w:r>
              <w:rPr>
                <w:rFonts w:ascii="Arial" w:cs="Arial" w:eastAsia="Arial" w:hAnsi="Arial"/>
                <w:sz w:val="19"/>
                <w:szCs w:val="19"/>
              </w:rPr>
              <w:t xml:space="preserve">• Пункт 330 (8471 50 000 0): ACER, ADATA, ADVANTECH, AEROCOOL, AIC, ALIENWARE, AMD, AOC, AOPEN, AORUS, APACER, APPLE, ARISTA, ASROCK, ASUS, AToS, AWS, Axicon, Basler, Belkin, BENQ, BIOSTAR, brother, Bull, CASIO, CANON, CHIEFTEC, CISCO, COGNEX, Compal, COOLER MASTER, Corsair, CRAY,…; кроме знаков HEWLETT PACKARD (HP), FUJITSU</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twtjjjrfkxjdo2ecm_vtq">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yxzprxxds2-j1o5fxnqmc">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frzcl2ambbhv3fzx6qdsp">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8471 — Оборудование для кабинетов и палат, оборудование для лабораторий и аптек 94 5200 (термостаты электрические; установки стоматологические универсальные; оборудование кабинетов и палат; оборудование стоматологическое, зубопротезное, оториноларингологическое; оборудование рентгенологическое,…</w:t>
            </w:r>
          </w:p>
          <w:p>
            <w:pPr>
              <w:spacing w:after="60"/>
              <w:ind w:left="220" w:hanging="160"/>
            </w:pPr>
            <w:r>
              <w:rPr>
                <w:rFonts w:ascii="Arial" w:cs="Arial" w:eastAsia="Arial" w:hAnsi="Arial"/>
                <w:sz w:val="19"/>
                <w:szCs w:val="19"/>
              </w:rPr>
              <w:t xml:space="preserve">• 8471 — Технические средства для оборудования помещений, используемые только для профилактики инвалидности или реабилитации инвалидов, включая обучение (в том числе адаптированные для инвалидов специальная мебель, осветительные приборы, специальные доски, лупы электронные, аудиоклассы, компьютерные классы,…</w:t>
            </w:r>
          </w:p>
          <w:p>
            <w:pPr>
              <w:spacing w:after="60"/>
              <w:ind w:left="220" w:hanging="160"/>
            </w:pPr>
            <w:r>
              <w:rPr>
                <w:rFonts w:ascii="Arial" w:cs="Arial" w:eastAsia="Arial" w:hAnsi="Arial"/>
                <w:sz w:val="19"/>
                <w:szCs w:val="19"/>
              </w:rPr>
              <w:t xml:space="preserve">• 8471 — Технические средства для развития у инвалидов навыков ориентации в пространстве, самостоятельного передвижения, повседневного самообслуживания, для тренировки речи, письма и общения, умения различать и сравнивать предметы, средства для обучения программированию, информатике, правилам личной…</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73 860 ₽ за декларацию: код в перечне радиоэлектроники с отдельной ставкой сбора.</w:t>
            </w:r>
          </w:p>
          <w:p>
            <w:pPr>
              <w:spacing w:after="60"/>
            </w:pPr>
            <w:hyperlink w:history="1" r:id="rIdtbewzmoqgfcf8ovo0ebq4">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Радиоэлектронные средства и (или) высокочастотные устройства гражданского назначения, в том числе встроенные либо входящие в состав других товаров (касается части товаров кода)</w:t>
            </w:r>
          </w:p>
          <w:p>
            <w:pPr>
              <w:spacing w:after="60"/>
            </w:pPr>
            <w:hyperlink w:history="1" r:id="rIdqhqyrws1i2znjrcq7xsqj">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2.16</w:t>
            </w:r>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Специальные технические средства, предназначенные для негласного получения информации (касается части товаров кода)</w:t>
            </w:r>
          </w:p>
          <w:p>
            <w:pPr>
              <w:spacing w:after="60"/>
            </w:pPr>
            <w:hyperlink w:history="1" r:id="rId6zjo_izv3fs9-hjm39xzu">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2.17</w:t>
            </w:r>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Шифровальные (криптографические) средства (касается части товаров кода)</w:t>
            </w:r>
          </w:p>
          <w:p>
            <w:pPr>
              <w:spacing w:after="60"/>
            </w:pPr>
            <w:hyperlink w:history="1" r:id="rIdltzhkly1mder7jueti-zf">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2.19</w:t>
            </w:r>
          </w:p>
          <w:p>
            <w:pPr>
              <w:spacing w:after="60"/>
            </w:pPr>
            <w:r>
              <w:rPr>
                <w:rFonts w:ascii="Arial" w:cs="Arial" w:eastAsia="Arial" w:hAnsi="Arial"/>
                <w:color w:val="5B6472"/>
                <w:sz w:val="17"/>
                <w:szCs w:val="17"/>
              </w:rPr>
              <w:t xml:space="preserve">Есть меры, касающиеся только вывоза, — они в справке на вывоз.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xvksutvjepc8x4i1kueld">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jhfmdhrkystpmt0lf47bg">
              <w:r>
                <w:rPr>
                  <w:rFonts w:ascii="Arial" w:cs="Arial" w:eastAsia="Arial" w:hAnsi="Arial"/>
                  <w:b/>
                  <w:bCs/>
                  <w:color w:val="1F5FBF"/>
                  <w:sz w:val="19"/>
                  <w:szCs w:val="19"/>
                  <w:u w:val="single"/>
                </w:rPr>
                <w:t xml:space="preserve">ТР ЕАЭС 037/2016</w:t>
              </w:r>
            </w:hyperlink>
            <w:r>
              <w:rPr>
                <w:rFonts w:ascii="Arial" w:cs="Arial" w:eastAsia="Arial" w:hAnsi="Arial"/>
                <w:b/>
                <w:bCs/>
                <w:sz w:val="19"/>
                <w:szCs w:val="19"/>
              </w:rPr>
              <w:t xml:space="preserve"> «Об ограничении применения опасных веществ в изделиях электротехники и радиоэлектроники»</w:t>
            </w:r>
          </w:p>
          <w:p>
            <w:pPr>
              <w:spacing w:after="60"/>
              <w:ind w:left="220" w:hanging="160"/>
            </w:pPr>
            <w:r>
              <w:rPr>
                <w:rFonts w:ascii="Arial" w:cs="Arial" w:eastAsia="Arial" w:hAnsi="Arial"/>
                <w:sz w:val="19"/>
                <w:szCs w:val="19"/>
              </w:rPr>
              <w:t xml:space="preserve">• декларация о соответствии: клавиатуры, манипуляторы, треккеры и другие устройства управления и ввода (компьютерные мышки, джойстики, шлемы, очки)</w:t>
            </w:r>
          </w:p>
          <w:p>
            <w:pPr>
              <w:spacing w:after="60"/>
              <w:ind w:left="220" w:hanging="160"/>
            </w:pPr>
            <w:r>
              <w:rPr>
                <w:rFonts w:ascii="Arial" w:cs="Arial" w:eastAsia="Arial" w:hAnsi="Arial"/>
                <w:sz w:val="19"/>
                <w:szCs w:val="19"/>
              </w:rPr>
              <w:t xml:space="preserve">• декларация о соответствии: считыватели биометрической информации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Электронные вычислительные машины и подключаемые к ним устройства, включая их комбинации: 1) серверы, системные блоки персональных компьютеров</w:t>
            </w:r>
          </w:p>
          <w:p>
            <w:pPr>
              <w:spacing w:after="60"/>
            </w:pPr>
            <w:hyperlink w:history="1" r:id="rIdni5wrpsy_vxdhggvzownx">
              <w:r>
                <w:rPr>
                  <w:rFonts w:ascii="Arial" w:cs="Arial" w:eastAsia="Arial" w:hAnsi="Arial"/>
                  <w:b/>
                  <w:bCs/>
                  <w:color w:val="1F5FBF"/>
                  <w:sz w:val="19"/>
                  <w:szCs w:val="19"/>
                  <w:u w:val="single"/>
                </w:rPr>
                <w:t xml:space="preserve">ТР ЕАЭС 050/2021</w:t>
              </w:r>
            </w:hyperlink>
            <w:r>
              <w:rPr>
                <w:rFonts w:ascii="Arial" w:cs="Arial" w:eastAsia="Arial" w:hAnsi="Arial"/>
                <w:b/>
                <w:bCs/>
                <w:sz w:val="19"/>
                <w:szCs w:val="19"/>
              </w:rPr>
              <w:t xml:space="preserve"> «О безопасности продукции, предназначенной для гражданской обороны и защиты от чрезвычайных ситуаций природного и техногенного характера»</w:t>
            </w:r>
          </w:p>
          <w:p>
            <w:pPr>
              <w:spacing w:after="60"/>
              <w:ind w:left="220" w:hanging="160"/>
            </w:pPr>
            <w:r>
              <w:rPr>
                <w:rFonts w:ascii="Arial" w:cs="Arial" w:eastAsia="Arial" w:hAnsi="Arial"/>
                <w:sz w:val="19"/>
                <w:szCs w:val="19"/>
              </w:rPr>
              <w:t xml:space="preserve">• сертификат соответствия: Информационно-вычислительные (программно-технические) комплексы мониторинга</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8471 50 действует сертификатов: 1724, деклараций: 9073; чаще по </w:t>
            </w:r>
            <w:hyperlink w:history="1" r:id="rIddncs8a83g9qiexlu69ig8">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j0uendgyl8hdzfzq7f618">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geegvqjhboh6xuawir9jf">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w:t>
            </w:r>
          </w:p>
          <w:p>
            <w:pPr>
              <w:spacing w:after="60"/>
            </w:pPr>
            <w:hyperlink w:history="1" r:id="rId_asrtbii-w-o4pnhwum1q">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im1g_msqtbrctrokpiali">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3.1.2.1.1: Устройства записи цифровых данных, удовлетворяющие всем следующим условиям:</w:t>
            </w:r>
          </w:p>
          <w:p>
            <w:pPr>
              <w:spacing w:after="60"/>
              <w:ind w:left="220" w:hanging="160"/>
            </w:pPr>
            <w:r>
              <w:rPr>
                <w:rFonts w:ascii="Arial" w:cs="Arial" w:eastAsia="Arial" w:hAnsi="Arial"/>
                <w:sz w:val="19"/>
                <w:szCs w:val="19"/>
              </w:rPr>
              <w:t xml:space="preserve">• </w:t>
            </w:r>
            <w:hyperlink w:history="1" r:id="rIdks6bsftzynzjibad3m2ms">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4.1.1: ЭВМ и сопутствующее оборудование, специально разработанные, чтобы отвечать любому из нижеприведенных условий, а также электронные сборки и специально разработанные компоненты для них:</w:t>
            </w:r>
          </w:p>
          <w:p>
            <w:pPr>
              <w:spacing w:after="60"/>
              <w:ind w:left="220" w:hanging="160"/>
            </w:pPr>
            <w:r>
              <w:rPr>
                <w:rFonts w:ascii="Arial" w:cs="Arial" w:eastAsia="Arial" w:hAnsi="Arial"/>
                <w:sz w:val="19"/>
                <w:szCs w:val="19"/>
              </w:rPr>
              <w:t xml:space="preserve">• </w:t>
            </w:r>
            <w:hyperlink w:history="1" r:id="rId01jcfr9opya0jf4i5xd_h">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4.1.3.1: ЭВМ с систолической матрицей;</w:t>
            </w:r>
          </w:p>
          <w:p>
            <w:pPr>
              <w:spacing w:after="60"/>
              <w:ind w:left="220" w:hanging="160"/>
            </w:pPr>
            <w:r>
              <w:rPr>
                <w:rFonts w:ascii="Arial" w:cs="Arial" w:eastAsia="Arial" w:hAnsi="Arial"/>
                <w:sz w:val="19"/>
                <w:szCs w:val="19"/>
              </w:rPr>
              <w:t xml:space="preserve">• </w:t>
            </w:r>
            <w:hyperlink w:history="1" r:id="rIdejfw8lew9z6vf8rav4jjz">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4.1.3.2: Нейронные ЭВМ;</w:t>
            </w:r>
          </w:p>
          <w:p>
            <w:pPr>
              <w:spacing w:after="60"/>
              <w:ind w:left="220" w:hanging="160"/>
            </w:pPr>
            <w:r>
              <w:rPr>
                <w:rFonts w:ascii="Arial" w:cs="Arial" w:eastAsia="Arial" w:hAnsi="Arial"/>
                <w:sz w:val="19"/>
                <w:szCs w:val="19"/>
              </w:rPr>
              <w:t xml:space="preserve">• </w:t>
            </w:r>
            <w:hyperlink w:history="1" r:id="rIdmlxybqi6miflekb5ijk6g">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4.1.3.3: Оптические ЭВМ</w:t>
            </w:r>
          </w:p>
          <w:p>
            <w:pPr>
              <w:spacing w:after="60"/>
            </w:pPr>
            <w:r>
              <w:rPr>
                <w:rFonts w:ascii="Arial" w:cs="Arial" w:eastAsia="Arial" w:hAnsi="Arial"/>
                <w:color w:val="5B6472"/>
                <w:sz w:val="17"/>
                <w:szCs w:val="17"/>
              </w:rPr>
              <w:t xml:space="preserve">Ещё пунктов: 16, все — на странице кода.</w:t>
            </w:r>
          </w:p>
          <w:p>
            <w:pPr>
              <w:spacing w:after="60"/>
            </w:pPr>
            <w:hyperlink w:history="1" r:id="rId3cajhoxo42folfvj5hr9z">
              <w:r>
                <w:rPr>
                  <w:rFonts w:ascii="Arial" w:cs="Arial" w:eastAsia="Arial" w:hAnsi="Arial"/>
                  <w:color w:val="1F5FBF"/>
                  <w:sz w:val="17"/>
                  <w:szCs w:val="17"/>
                  <w:u w:val="single"/>
                </w:rPr>
                <w:t xml:space="preserve">Постановление Правительства РФ от 19.07.2022 № 1299</w:t>
              </w:r>
            </w:hyperlink>
            <w:r>
              <w:rPr>
                <w:rFonts w:ascii="Arial" w:cs="Arial" w:eastAsia="Arial" w:hAnsi="Arial"/>
                <w:color w:val="5B6472"/>
                <w:sz w:val="17"/>
                <w:szCs w:val="17"/>
              </w:rPr>
              <w:t xml:space="preserve">; </w:t>
            </w:r>
            <w:hyperlink w:history="1" r:id="rId78trp2mr2eqgcowvwfqoc">
              <w:r>
                <w:rPr>
                  <w:rFonts w:ascii="Arial" w:cs="Arial" w:eastAsia="Arial" w:hAnsi="Arial"/>
                  <w:color w:val="1F5FBF"/>
                  <w:sz w:val="17"/>
                  <w:szCs w:val="17"/>
                  <w:u w:val="single"/>
                </w:rPr>
                <w:t xml:space="preserve">Постановление Правительства РФ от 16.07.2022 № 1288</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(18); обязательны только в стране, которая их приняла:</w:t>
            </w:r>
          </w:p>
          <w:p>
            <w:pPr>
              <w:spacing w:after="60"/>
              <w:ind w:left="220" w:hanging="160"/>
            </w:pPr>
            <w:r>
              <w:rPr>
                <w:rFonts w:ascii="Arial" w:cs="Arial" w:eastAsia="Arial" w:hAnsi="Arial"/>
                <w:sz w:val="19"/>
                <w:szCs w:val="19"/>
              </w:rPr>
              <w:t xml:space="preserve">• Беларусь: Материнская (системная) плата представляет собой электронный модуль, предназначенный для генерации, модуляции, приема и управления всеми входящими и исходящими электрическими сигналами. Плата укомплектована процессором. Характеристики:…</w:t>
            </w:r>
          </w:p>
          <w:p>
            <w:pPr>
              <w:spacing w:after="60"/>
            </w:pPr>
            <w:r>
              <w:rPr>
                <w:rFonts w:ascii="Arial" w:cs="Arial" w:eastAsia="Arial" w:hAnsi="Arial"/>
                <w:color w:val="5B6472"/>
                <w:sz w:val="17"/>
                <w:szCs w:val="17"/>
              </w:rPr>
              <w:t xml:space="preserve">Основные правила интерпретации 1 и 6 ТН ВЭД ЕАЭС, Постановление Государственного таможенного комитета Республики Беларусь от 16.11.2007 № 110</w:t>
            </w:r>
          </w:p>
          <w:p>
            <w:pPr>
              <w:spacing w:after="60"/>
              <w:ind w:left="220" w:hanging="160"/>
            </w:pPr>
            <w:r>
              <w:rPr>
                <w:rFonts w:ascii="Arial" w:cs="Arial" w:eastAsia="Arial" w:hAnsi="Arial"/>
                <w:sz w:val="19"/>
                <w:szCs w:val="19"/>
              </w:rPr>
              <w:t xml:space="preserve">• Беларусь: Персональный компьютер представляет собой блок обработки данных (так называемый системный блок) с предустановленной ОС Windows 7 Professional 32bit OS и MS Office Professional 2010, оснащенный процессором Intel Core i3 2120 с частотой 3,3…</w:t>
            </w:r>
          </w:p>
          <w:p>
            <w:pPr>
              <w:spacing w:after="60"/>
            </w:pPr>
            <w:r>
              <w:rPr>
                <w:rFonts w:ascii="Arial" w:cs="Arial" w:eastAsia="Arial" w:hAnsi="Arial"/>
                <w:color w:val="5B6472"/>
                <w:sz w:val="17"/>
                <w:szCs w:val="17"/>
              </w:rPr>
              <w:t xml:space="preserve">В соответствии с ОПИ 1 (примечание 5 (А), 5 (В) к группе 84), 3 (б) и 6</w:t>
            </w:r>
          </w:p>
          <w:p>
            <w:pPr>
              <w:spacing w:after="60"/>
              <w:ind w:left="220" w:hanging="160"/>
            </w:pPr>
            <w:r>
              <w:rPr>
                <w:rFonts w:ascii="Arial" w:cs="Arial" w:eastAsia="Arial" w:hAnsi="Arial"/>
                <w:sz w:val="19"/>
                <w:szCs w:val="19"/>
              </w:rPr>
              <w:t xml:space="preserve">• Беларусь: Персональный компьютер представляет собой блок обработки данных (так называемый системный блок) с предустановленной ОС, оснащенный процессором Intel, оперативной памятью 8GB, накопителем на твердотелом жестком диске SSD 250 GB, внешним…</w:t>
            </w:r>
          </w:p>
          <w:p>
            <w:pPr>
              <w:spacing w:after="60"/>
            </w:pPr>
            <w:r>
              <w:rPr>
                <w:rFonts w:ascii="Arial" w:cs="Arial" w:eastAsia="Arial" w:hAnsi="Arial"/>
                <w:color w:val="5B6472"/>
                <w:sz w:val="17"/>
                <w:szCs w:val="17"/>
              </w:rPr>
              <w:t xml:space="preserve">В соответсвии с ОПИ 1 (Примечание 5(А), 5(В) к группе 84), 3(Б), 6 ТН ВЭД.</w:t>
            </w:r>
          </w:p>
          <w:p>
            <w:pPr>
              <w:spacing w:after="60"/>
              <w:ind w:left="220" w:hanging="160"/>
            </w:pPr>
            <w:r>
              <w:rPr>
                <w:rFonts w:ascii="Arial" w:cs="Arial" w:eastAsia="Arial" w:hAnsi="Arial"/>
                <w:sz w:val="19"/>
                <w:szCs w:val="19"/>
              </w:rPr>
              <w:t xml:space="preserve">• Беларусь: Товар представляет собой блок обработки данных с предустановленным программным обеспечением. Оснащение товара: вычислительное устройство (включающее в себя материнскую плату со встроенными: видеокартой, звуковой картой, сетевой картой,…</w:t>
            </w:r>
          </w:p>
          <w:p>
            <w:pPr>
              <w:spacing w:after="60"/>
            </w:pPr>
            <w:r>
              <w:rPr>
                <w:rFonts w:ascii="Arial" w:cs="Arial" w:eastAsia="Arial" w:hAnsi="Arial"/>
                <w:color w:val="5B6472"/>
                <w:sz w:val="17"/>
                <w:szCs w:val="17"/>
              </w:rPr>
              <w:t xml:space="preserve">Основные правила интерпретации 1 (примечание 6 (А), 6 (В) к группе 84) и 6 ТН ВЭД ЕАЭС.</w:t>
            </w:r>
          </w:p>
          <w:p>
            <w:pPr>
              <w:spacing w:after="60"/>
              <w:ind w:left="220" w:hanging="160"/>
            </w:pPr>
            <w:r>
              <w:rPr>
                <w:rFonts w:ascii="Arial" w:cs="Arial" w:eastAsia="Arial" w:hAnsi="Arial"/>
                <w:sz w:val="19"/>
                <w:szCs w:val="19"/>
              </w:rPr>
              <w:t xml:space="preserve">• Беларусь: Товар представляет собой отдельно представленный блок обработки данных (системный блок) с расширенными функциональными возможностями для приема и обработки данных. На базе данного устройства строится вычислительная система. Содержит в…</w:t>
            </w:r>
          </w:p>
          <w:p>
            <w:pPr>
              <w:spacing w:after="60"/>
            </w:pPr>
            <w:r>
              <w:rPr>
                <w:rFonts w:ascii="Arial" w:cs="Arial" w:eastAsia="Arial" w:hAnsi="Arial"/>
                <w:color w:val="5B6472"/>
                <w:sz w:val="17"/>
                <w:szCs w:val="17"/>
              </w:rPr>
              <w:t xml:space="preserve">Основные правила интерпретации 1 (примечание 6 (А), (В) к группе 84), 6 ТН ВЭД ЕАЭС.</w:t>
            </w:r>
          </w:p>
          <w:p>
            <w:pPr>
              <w:spacing w:after="60"/>
            </w:pPr>
            <w:r>
              <w:rPr>
                <w:rFonts w:ascii="Arial" w:cs="Arial" w:eastAsia="Arial" w:hAnsi="Arial"/>
                <w:color w:val="5B6472"/>
                <w:sz w:val="17"/>
                <w:szCs w:val="17"/>
              </w:rPr>
              <w:t xml:space="preserve">Ещё решений: 13, все — на странице кода.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Декларируется одним товаром, только если у товаров одинаковые товарный знак, марка, модель, артикул и характеристики.</w:t>
            </w:r>
          </w:p>
          <w:p>
            <w:pPr>
              <w:spacing w:after="60"/>
            </w:pPr>
            <w:hyperlink w:history="1" r:id="rIdkqorjhnihfgfisdjllbsc">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приложение 1 к Порядку заполнения декларации на товары</w:t>
            </w:r>
          </w:p>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kv94xn15gdnbmcqq2aogm">
              <w:r>
                <w:rPr>
                  <w:rFonts w:ascii="Arial" w:cs="Arial" w:eastAsia="Arial" w:hAnsi="Arial"/>
                  <w:color w:val="1F5FBF"/>
                  <w:sz w:val="17"/>
                  <w:szCs w:val="17"/>
                  <w:u w:val="single"/>
                </w:rPr>
                <w:t xml:space="preserve">Решение Коллегии ЕЭК от 03.04.2018 № 45</w:t>
              </w:r>
            </w:hyperlink>
          </w:p>
          <w:p>
            <w:pPr>
              <w:spacing w:after="60"/>
              <w:ind w:left="220" w:hanging="160"/>
            </w:pPr>
            <w:r>
              <w:rPr>
                <w:rFonts w:ascii="Arial" w:cs="Arial" w:eastAsia="Arial" w:hAnsi="Arial"/>
                <w:sz w:val="19"/>
                <w:szCs w:val="19"/>
              </w:rPr>
              <w:t xml:space="preserve">• В графе 31 (вычислительные машины, блоки обработки данных): идентификационный номер (серийный заводской номер) либо информация об отсутствии такого номера</w:t>
            </w:r>
          </w:p>
          <w:p>
            <w:pPr>
              <w:spacing w:after="60"/>
            </w:pPr>
            <w:hyperlink w:history="1" r:id="rId-7pezlw4_lfiz7czfngtc">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8471500000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ind w:left="220" w:hanging="160"/>
            </w:pPr>
            <w:r>
              <w:rPr>
                <w:rFonts w:ascii="Arial" w:cs="Arial" w:eastAsia="Arial" w:hAnsi="Arial"/>
                <w:sz w:val="19"/>
                <w:szCs w:val="19"/>
              </w:rPr>
              <w:t xml:space="preserve">• ОООО-ГГ — Освобождение от уплаты НДС в отношении ввозимых в Российскую Федерацию технических средств, включая автомототранспорт, материалов, которые могут быть использованы исключительно для профилактики инвалидности или реабилитации инвалидов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x5mrql1pyfzlm5ijmoqqz">
              <w:r>
                <w:rPr>
                  <w:rFonts w:ascii="Arial" w:cs="Arial" w:eastAsia="Arial" w:hAnsi="Arial"/>
                  <w:color w:val="1F5FBF"/>
                  <w:sz w:val="19"/>
                  <w:szCs w:val="19"/>
                  <w:u w:val="single"/>
                </w:rPr>
                <w:t xml:space="preserve">ТР ЕАЭС 037/2016</w:t>
              </w:r>
            </w:hyperlink>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fh8_fa1z1cblt7yoaisxw">
              <w:r>
                <w:rPr>
                  <w:rFonts w:ascii="Arial" w:cs="Arial" w:eastAsia="Arial" w:hAnsi="Arial"/>
                  <w:color w:val="1F5FBF"/>
                  <w:sz w:val="19"/>
                  <w:szCs w:val="19"/>
                  <w:u w:val="single"/>
                </w:rPr>
                <w:t xml:space="preserve">ТР ЕАЭС 050/2021</w:t>
              </w:r>
            </w:hyperlink>
          </w:p>
          <w:p>
            <w:pPr>
              <w:spacing w:after="60"/>
              <w:ind w:left="220" w:hanging="160"/>
            </w:pPr>
            <w:r>
              <w:rPr>
                <w:rFonts w:ascii="Arial" w:cs="Arial" w:eastAsia="Arial" w:hAnsi="Arial"/>
                <w:sz w:val="19"/>
                <w:szCs w:val="19"/>
              </w:rPr>
              <w:t xml:space="preserve">• 01041 — Заключение (разрешительный документ) на ввоз радиоэлектронных средств и высокочастотных устройств гражданского назначения, в том числе встроенных либо входящих в состав других товаров · </w:t>
            </w:r>
            <w:hyperlink w:history="1" r:id="rIdcltym20yyr8inxpwbv4mn">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2.16</w:t>
            </w:r>
          </w:p>
          <w:p>
            <w:pPr>
              <w:spacing w:after="60"/>
              <w:ind w:left="220" w:hanging="160"/>
            </w:pPr>
            <w:r>
              <w:rPr>
                <w:rFonts w:ascii="Arial" w:cs="Arial" w:eastAsia="Arial" w:hAnsi="Arial"/>
                <w:sz w:val="19"/>
                <w:szCs w:val="19"/>
              </w:rPr>
              <w:t xml:space="preserve">• 01095 — Заключение (разрешительный документ) на ввоз и (или) вывоз специальных технических средств, предназначенных для негласного получения информации · </w:t>
            </w:r>
            <w:hyperlink w:history="1" r:id="rIdookgcrgmees6bi0k5kijn">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2.17</w:t>
            </w:r>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2zou14vdpse1pj3vivatw">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разделы 2.17 и 2.19</w:t>
            </w:r>
          </w:p>
          <w:p>
            <w:pPr>
              <w:spacing w:after="60"/>
              <w:ind w:left="220" w:hanging="160"/>
            </w:pPr>
            <w:r>
              <w:rPr>
                <w:rFonts w:ascii="Arial" w:cs="Arial" w:eastAsia="Arial" w:hAnsi="Arial"/>
                <w:sz w:val="19"/>
                <w:szCs w:val="19"/>
              </w:rPr>
              <w:t xml:space="preserve">• 01091 — Заключение (разрешительный документ) на ввоз и (или) вывоз шифровальных (криптографических) средств · </w:t>
            </w:r>
            <w:hyperlink w:history="1" r:id="rIdig30_0wp40pe45-kqdfl-">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2.19</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_tvyk25yfhyx5v-gnzsmx">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1-uxtuqy5fo89vz3bkzyk">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z1xvxrky4cubi1reblp-o">
              <w:r>
                <w:rPr>
                  <w:rFonts w:ascii="Arial" w:cs="Arial" w:eastAsia="Arial" w:hAnsi="Arial"/>
                  <w:color w:val="1F5FBF"/>
                  <w:sz w:val="19"/>
                  <w:szCs w:val="19"/>
                  <w:u w:val="single"/>
                </w:rPr>
                <w:t xml:space="preserve">Решение Коллегии ЕЭК № 29 от 26.03.2024</w:t>
              </w:r>
            </w:hyperlink>
            <w:r>
              <w:rPr>
                <w:rFonts w:ascii="Arial" w:cs="Arial" w:eastAsia="Arial" w:hAnsi="Arial"/>
                <w:sz w:val="19"/>
                <w:szCs w:val="19"/>
              </w:rPr>
              <w:t xml:space="preserve"> — О перечне продукции, подлежащей обязательной оценке соответствия требованиям технического регламента Евразийского экономического союза «О безопасности продукции, предназначенной для гражданской… (вступило в силу 27.04.2024)</w:t>
            </w:r>
          </w:p>
          <w:p>
            <w:pPr>
              <w:spacing w:after="60"/>
              <w:ind w:left="220" w:hanging="160"/>
            </w:pPr>
            <w:r>
              <w:rPr>
                <w:rFonts w:ascii="Arial" w:cs="Arial" w:eastAsia="Arial" w:hAnsi="Arial"/>
                <w:sz w:val="19"/>
                <w:szCs w:val="19"/>
              </w:rPr>
              <w:t xml:space="preserve">• </w:t>
            </w:r>
            <w:hyperlink w:history="1" r:id="rIdezdnqd7_6pc6im-ackyzi">
              <w:r>
                <w:rPr>
                  <w:rFonts w:ascii="Arial" w:cs="Arial" w:eastAsia="Arial" w:hAnsi="Arial"/>
                  <w:color w:val="1F5FBF"/>
                  <w:sz w:val="19"/>
                  <w:szCs w:val="19"/>
                  <w:u w:val="single"/>
                </w:rPr>
                <w:t xml:space="preserve">Решение Коллегии ЕЭК № 167 от 16.10.2018</w:t>
              </w:r>
            </w:hyperlink>
            <w:r>
              <w:rPr>
                <w:rFonts w:ascii="Arial" w:cs="Arial" w:eastAsia="Arial" w:hAnsi="Arial"/>
                <w:sz w:val="19"/>
                <w:szCs w:val="19"/>
              </w:rPr>
              <w:t xml:space="preserve"> — Об утверждении перечня продукции, в отношении которой подача таможенной декларации сопровождается представлением документа об оценке соответствия требованиям технического регламента Евразийского… (вступило в силу 18.11.2018)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26.20.15 — Машины вычислительные электронные цифровые прочие, содержащие или не содержащие в одном корпусе одно или два из следующих устройств для автоматической обработки данных: запоминающие устройства, устройства ввода, устройства вывода</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https://imexp.ru/katalog/kod/8471500000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bsxad7xiq92xj1p0um_a" Type="http://schemas.openxmlformats.org/officeDocument/2006/relationships/hyperlink" Target="https://docs.eaeunion.org/documents/386/6099/" TargetMode="External"/><Relationship Id="rIda0qfp2omnph2hg44es8i5" Type="http://schemas.openxmlformats.org/officeDocument/2006/relationships/hyperlink" Target="https://docs.eaeunion.org/documents/386/6099/" TargetMode="External"/><Relationship Id="rIdniirzudio-o5t3_exppxx" Type="http://schemas.openxmlformats.org/officeDocument/2006/relationships/hyperlink" Target="https://eec.eaeunion.org/comission/department/deptexreg/tr/TR_EEU_037.php" TargetMode="External"/><Relationship Id="rIdv62s7dvizx6ia42psrqwz" Type="http://schemas.openxmlformats.org/officeDocument/2006/relationships/hyperlink" Target="https://eec.eaeunion.org/comission/department/deptexreg/tr/TR_EAEU_050.php" TargetMode="External"/><Relationship Id="rIdnu3yxqkmubmrsmurrzg6n" Type="http://schemas.openxmlformats.org/officeDocument/2006/relationships/hyperlink" Target="http://publication.pravo.gov.ru/document/0001202203140039" TargetMode="External"/><Relationship Id="rIdrnxkoyvbjkr_drnyw5xhr" Type="http://schemas.openxmlformats.org/officeDocument/2006/relationships/hyperlink" Target="https://docs.eaeunion.org/documents/335/4666/" TargetMode="External"/><Relationship Id="rIdt0fy2jzkyilwdpop1cuqb" Type="http://schemas.openxmlformats.org/officeDocument/2006/relationships/hyperlink" Target="https://docs.eaeunion.org/documents/292/1553/" TargetMode="External"/><Relationship Id="rIdtaiyiuygsv3zvrtbx2-no" Type="http://schemas.openxmlformats.org/officeDocument/2006/relationships/hyperlink" Target="http://publication.pravo.gov.ru/document/0001202308040119" TargetMode="External"/><Relationship Id="rId3j-kshwmiam7fsizq-15v" Type="http://schemas.openxmlformats.org/officeDocument/2006/relationships/hyperlink" Target="https://eur-lex.europa.eu/eli/reg/2014/833/oj/eng" TargetMode="External"/><Relationship Id="rIdgc81lpleti-bp_kb5g5vj" Type="http://schemas.openxmlformats.org/officeDocument/2006/relationships/hyperlink" Target="https://www.legislation.gov.uk/uksi/2019/855/contents" TargetMode="External"/><Relationship Id="rIdirunqlxg59rmrsgnqslcj" Type="http://schemas.openxmlformats.org/officeDocument/2006/relationships/hyperlink" Target="https://www.ecfr.gov/current/title-15/subtitle-B/chapter-VII/subchapter-C/part-746" TargetMode="External"/><Relationship Id="rIdmnv37_1nnv6mhlmeleoax" Type="http://schemas.openxmlformats.org/officeDocument/2006/relationships/hyperlink" Target="http://publication.pravo.gov.ru/document/0001202308040119" TargetMode="External"/><Relationship Id="rIdtwtjjjrfkxjdo2ecm_vtq" Type="http://schemas.openxmlformats.org/officeDocument/2006/relationships/hyperlink" Target="https://docs.eaeunion.org/documents/386/6099/" TargetMode="External"/><Relationship Id="rIdyxzprxxds2-j1o5fxnqmc" Type="http://schemas.openxmlformats.org/officeDocument/2006/relationships/hyperlink" Target="https://docs.eaeunion.org/documents/317/2804/" TargetMode="External"/><Relationship Id="rIdfrzcl2ambbhv3fzx6qdsp" Type="http://schemas.openxmlformats.org/officeDocument/2006/relationships/hyperlink" Target="http://publication.pravo.gov.ru/document/0001201510050001" TargetMode="External"/><Relationship Id="rIdtbewzmoqgfcf8ovo0ebq4" Type="http://schemas.openxmlformats.org/officeDocument/2006/relationships/hyperlink" Target="http://publication.pravo.gov.ru/document/0001202411290098" TargetMode="External"/><Relationship Id="rIdqhqyrws1i2znjrcq7xsqj" Type="http://schemas.openxmlformats.org/officeDocument/2006/relationships/hyperlink" Target="https://docs.eaeunion.org/documents/292/1553/" TargetMode="External"/><Relationship Id="rId6zjo_izv3fs9-hjm39xzu" Type="http://schemas.openxmlformats.org/officeDocument/2006/relationships/hyperlink" Target="https://docs.eaeunion.org/documents/292/1553/" TargetMode="External"/><Relationship Id="rIdltzhkly1mder7jueti-zf" Type="http://schemas.openxmlformats.org/officeDocument/2006/relationships/hyperlink" Target="https://docs.eaeunion.org/documents/292/1553/" TargetMode="External"/><Relationship Id="rIdxvksutvjepc8x4i1kueld" Type="http://schemas.openxmlformats.org/officeDocument/2006/relationships/hyperlink" Target="http://publication.pravo.gov.ru/document/0001201805040007" TargetMode="External"/><Relationship Id="rIdjhfmdhrkystpmt0lf47bg" Type="http://schemas.openxmlformats.org/officeDocument/2006/relationships/hyperlink" Target="https://eec.eaeunion.org/comission/department/deptexreg/tr/TR_EEU_037.php" TargetMode="External"/><Relationship Id="rIdni5wrpsy_vxdhggvzownx" Type="http://schemas.openxmlformats.org/officeDocument/2006/relationships/hyperlink" Target="https://eec.eaeunion.org/comission/department/deptexreg/tr/TR_EAEU_050.php" TargetMode="External"/><Relationship Id="rIddncs8a83g9qiexlu69ig8" Type="http://schemas.openxmlformats.org/officeDocument/2006/relationships/hyperlink" Target="https://eec.eaeunion.org/comission/department/deptexreg/tr/EMS.php" TargetMode="External"/><Relationship Id="rIdj0uendgyl8hdzfzq7f618" Type="http://schemas.openxmlformats.org/officeDocument/2006/relationships/hyperlink" Target="https://eec.eaeunion.org/comission/department/deptexreg/tr/Down_Volt.php" TargetMode="External"/><Relationship Id="rIdgeegvqjhboh6xuawir9jf" Type="http://schemas.openxmlformats.org/officeDocument/2006/relationships/hyperlink" Target="https://eec.eaeunion.org/comission/department/deptexreg/tr/TR_EEU_037.php" TargetMode="External"/><Relationship Id="rId_asrtbii-w-o4pnhwum1q" Type="http://schemas.openxmlformats.org/officeDocument/2006/relationships/hyperlink" Target="https://docs.eaeunion.org/documents/335/4666/" TargetMode="External"/><Relationship Id="rIdim1g_msqtbrctrokpiali" Type="http://schemas.openxmlformats.org/officeDocument/2006/relationships/hyperlink" Target="http://publication.pravo.gov.ru/document/0001202207220041" TargetMode="External"/><Relationship Id="rIdks6bsftzynzjibad3m2ms" Type="http://schemas.openxmlformats.org/officeDocument/2006/relationships/hyperlink" Target="http://publication.pravo.gov.ru/document/0001202207220041" TargetMode="External"/><Relationship Id="rId01jcfr9opya0jf4i5xd_h" Type="http://schemas.openxmlformats.org/officeDocument/2006/relationships/hyperlink" Target="http://publication.pravo.gov.ru/document/0001202207220041" TargetMode="External"/><Relationship Id="rIdejfw8lew9z6vf8rav4jjz" Type="http://schemas.openxmlformats.org/officeDocument/2006/relationships/hyperlink" Target="http://publication.pravo.gov.ru/document/0001202207220041" TargetMode="External"/><Relationship Id="rIdmlxybqi6miflekb5ijk6g" Type="http://schemas.openxmlformats.org/officeDocument/2006/relationships/hyperlink" Target="http://publication.pravo.gov.ru/document/0001202207220041" TargetMode="External"/><Relationship Id="rId3cajhoxo42folfvj5hr9z" Type="http://schemas.openxmlformats.org/officeDocument/2006/relationships/hyperlink" Target="http://publication.pravo.gov.ru/document/0001202207220041" TargetMode="External"/><Relationship Id="rId78trp2mr2eqgcowvwfqoc" Type="http://schemas.openxmlformats.org/officeDocument/2006/relationships/hyperlink" Target="http://publication.pravo.gov.ru/document/0001202207190036" TargetMode="External"/><Relationship Id="rIdkqorjhnihfgfisdjllbsc" Type="http://schemas.openxmlformats.org/officeDocument/2006/relationships/hyperlink" Target="https://docs.eaeunion.org/documents/214/946/" TargetMode="External"/><Relationship Id="rIdkv94xn15gdnbmcqq2aogm" Type="http://schemas.openxmlformats.org/officeDocument/2006/relationships/hyperlink" Target="https://docs.eaeunion.org/documents/253/3575/" TargetMode="External"/><Relationship Id="rId-7pezlw4_lfiz7czfngtc" Type="http://schemas.openxmlformats.org/officeDocument/2006/relationships/hyperlink" Target="https://docs.eaeunion.org/documents/214/946/" TargetMode="External"/><Relationship Id="rIdx5mrql1pyfzlm5ijmoqqz" Type="http://schemas.openxmlformats.org/officeDocument/2006/relationships/hyperlink" Target="https://eec.eaeunion.org/comission/department/deptexreg/tr/TR_EEU_037.php" TargetMode="External"/><Relationship Id="rIdfh8_fa1z1cblt7yoaisxw" Type="http://schemas.openxmlformats.org/officeDocument/2006/relationships/hyperlink" Target="https://eec.eaeunion.org/comission/department/deptexreg/tr/TR_EAEU_050.php" TargetMode="External"/><Relationship Id="rIdcltym20yyr8inxpwbv4mn" Type="http://schemas.openxmlformats.org/officeDocument/2006/relationships/hyperlink" Target="https://docs.eaeunion.org/documents/292/1553/" TargetMode="External"/><Relationship Id="rIdookgcrgmees6bi0k5kijn" Type="http://schemas.openxmlformats.org/officeDocument/2006/relationships/hyperlink" Target="https://docs.eaeunion.org/documents/292/1553/" TargetMode="External"/><Relationship Id="rId2zou14vdpse1pj3vivatw" Type="http://schemas.openxmlformats.org/officeDocument/2006/relationships/hyperlink" Target="https://docs.eaeunion.org/documents/292/1553/" TargetMode="External"/><Relationship Id="rIdig30_0wp40pe45-kqdfl-" Type="http://schemas.openxmlformats.org/officeDocument/2006/relationships/hyperlink" Target="https://docs.eaeunion.org/documents/292/1553/" TargetMode="External"/><Relationship Id="rId_tvyk25yfhyx5v-gnzsmx" Type="http://schemas.openxmlformats.org/officeDocument/2006/relationships/hyperlink" Target="https://docs.eaeunion.org/documents/214/946/" TargetMode="External"/><Relationship Id="rId1-uxtuqy5fo89vz3bkzyk" Type="http://schemas.openxmlformats.org/officeDocument/2006/relationships/hyperlink" Target="https://docs.eaeunion.org/documents/208/8939/" TargetMode="External"/><Relationship Id="rIdz1xvxrky4cubi1reblp-o" Type="http://schemas.openxmlformats.org/officeDocument/2006/relationships/hyperlink" Target="https://docs.eaeunion.org/documents/429/8014/" TargetMode="External"/><Relationship Id="rIdezdnqd7_6pc6im-ackyzi" Type="http://schemas.openxmlformats.org/officeDocument/2006/relationships/hyperlink" Target="https://docs.eaeunion.org/documents/253/3910/" TargetMode="External"/><Relationship Id="rId5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8471 50 000 0</dc:title>
  <dc:creator>IMEXP</dc:creator>
  <cp:lastModifiedBy>Un-named</cp:lastModifiedBy>
  <cp:revision>1</cp:revision>
  <dcterms:created xsi:type="dcterms:W3CDTF">2026-10-31T13:15:06.764Z</dcterms:created>
  <dcterms:modified xsi:type="dcterms:W3CDTF">2026-10-31T13:15:06.764Z</dcterms:modified>
</cp:coreProperties>
</file>

<file path=docProps/custom.xml><?xml version="1.0" encoding="utf-8"?>
<Properties xmlns="http://schemas.openxmlformats.org/officeDocument/2006/custom-properties" xmlns:vt="http://schemas.openxmlformats.org/officeDocument/2006/docPropsVTypes"/>
</file>