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8474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06.11.2026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8474 — Оборудование для сортировки, грохочения, сепарации, промывки, измельчения, размалывания, смешивания или перемешивания грунта, камня, руд или других минеральных ископаемых в твердом (в том числе порошкообразном или пастообразном) состоянии; оборудование для агломерации, формовки или отливки твердого минерального топлива, керамических составов, незатвердевшего цемента, гипсовых материалов или других минеральных продуктов в порошкообразном или пастообразном состоянии; машины формовочные для изготовления литейных форм из песка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8474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8474 90 90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8474 90 900 0 — Части: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myj_k7nnskf5vkrsff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uvjqq-5bf1qrw542z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tpn7l_abr_qlliexla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lpp9fhb72vlqk8tj-s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gbinkiyrqqf2qxa5dx5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bim-lhih49hxbixv7s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iph3gv-7r86uimfurx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Футеровка разгрузочного бункера является частью бункера дробилки (не входит в комплект поставки), предназначенной для дробления горной породы. Футеровка устанавливается на внутренних стенках разгрузочного бункера и предназначена для защиты от износа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Барабан является составной частью смесителя (корпусом смесителя) непрерывного действия, предназначенного для смешивания подогретых компонентов коксовой шихты (смеси углей разных марок) и пека (остатка от перегонки каменноугольного дегтя) и получения смеси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(48);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Валок представляет собой незавершенную в производстве деталь – валок для пресса валкового, предназначенного для агломерации методом прессования минерального продукта – галургического мелкокристаллического хлористого калия. Деталь получена…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е) к разделу XV, примечание 2б. к разделу XVI), 2(а) и 6, пояснения к товарным позициям 7326, 8474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Сито устанавливается в грохот для просеивания сыпучих материалов, таких как песок, кварц, кремень, т.п., и получения нужной фракции продукта. Товар предназначен для использования исключительно с грохотом марки BIVITEC, тип KRL/ED 3000x9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2 б) к разделу XVI) и 6, пояснения к товарной позиции 8474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Бункер подачи бетона предназначен для дозирования жесткого бетона на исполнительные механизмы формующей вставки экструдера (бетон подается на шнеки под собственным весом). В бункере установлен датчик уровня бетонной смеси, при помощи…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Верхняя часть месильного рычага, представляет собой изделие стальное, выполненное методом литья и механической обработки. Крепится к корпусу месильной турбины и предназначена для фиксации месильного рычага в нужном положении. Используется…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Внешний корпус (суппорт) правый, левый в экструдере — является частью подшипникового узла, представляет собой внешнюю неподвижную обойму подшипника, цилиндрическая втулка с фланцем с внутренней посадочной поверхностью, предназначенной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43,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2zg5ryort1yqwijv-r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8474909000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_5isbc4gqmf2hlnmos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xpbbh9a-wzb5s94sqg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28.92.62 — Части машин для сортировки, дробления или прочих способов обработки грунта, камня 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https://imexp.ru/katalog/kod/8474909000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yj_k7nnskf5vkrsffq0" Type="http://schemas.openxmlformats.org/officeDocument/2006/relationships/hyperlink" Target="https://imexp.ru/akty/reshenie-soveta-eek-80-2021" TargetMode="External"/><Relationship Id="rIdjsuvjqq-5bf1qrw542zdk" Type="http://schemas.openxmlformats.org/officeDocument/2006/relationships/hyperlink" Target="https://imexp.ru/akty/reshenie-soveta-eek-80-2021" TargetMode="External"/><Relationship Id="rIdutpn7l_abr_qlliexladp" Type="http://schemas.openxmlformats.org/officeDocument/2006/relationships/hyperlink" Target="https://imexp.ru/akty/reshenie-soveta-eek-107-2017" TargetMode="External"/><Relationship Id="rIddlpp9fhb72vlqk8tj-s2o" Type="http://schemas.openxmlformats.org/officeDocument/2006/relationships/hyperlink" Target="https://eur-lex.europa.eu/eli/reg/2014/833/oj/eng" TargetMode="External"/><Relationship Id="rIdlgbinkiyrqqf2qxa5dx5g" Type="http://schemas.openxmlformats.org/officeDocument/2006/relationships/hyperlink" Target="https://www.legislation.gov.uk/uksi/2019/855/contents" TargetMode="External"/><Relationship Id="rIdybim-lhih49hxbixv7sst" Type="http://schemas.openxmlformats.org/officeDocument/2006/relationships/hyperlink" Target="https://imexp.ru/akty/postanovlenie-1637-2024" TargetMode="External"/><Relationship Id="rIdqiph3gv-7r86uimfurxgs" Type="http://schemas.openxmlformats.org/officeDocument/2006/relationships/hyperlink" Target="https://imexp.ru/akty/postanovlenie-1284-2022" TargetMode="External"/><Relationship Id="rIdn2zg5ryort1yqwijv-r_d" Type="http://schemas.openxmlformats.org/officeDocument/2006/relationships/hyperlink" Target="https://imexp.ru/akty/reshenie-kollegii-eek-45-2018" TargetMode="External"/><Relationship Id="rIdv_5isbc4gqmf2hlnmosqk" Type="http://schemas.openxmlformats.org/officeDocument/2006/relationships/hyperlink" Target="https://imexp.ru/akty/reshenie-kts-257-2010" TargetMode="External"/><Relationship Id="rIdsxpbbh9a-wzb5s94sqgnd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8474 90 900 0: вывоз</dc:title>
  <dc:creator>IMEXP</dc:creator>
  <cp:lastModifiedBy>Un-named</cp:lastModifiedBy>
  <cp:revision>1</cp:revision>
  <dcterms:created xsi:type="dcterms:W3CDTF">2026-11-06T04:49:07.303Z</dcterms:created>
  <dcterms:modified xsi:type="dcterms:W3CDTF">2026-11-06T04:49:07.303Z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