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ввоз в Россию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8528 52 100 0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08.11.2026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XVI. Машины, оборудование и механизмы; электротехническое оборудование; их части; звукозаписывающая и звуковоспроизводящая аппаратура, аппаратура для записи и воспроизведения телевизионного изображения и звука, их части и принадлежности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85 — ЭЛЕКТРИЧЕСКИЕ МАШИНЫ И ОБОРУДОВАНИЕ, ИХ ЧАСТИ; ЗВУКОЗАПИСЫВАЮЩАЯ И ЗВУКОВОСПРОИЗВОДЯЩАЯ АППАРАТУРА, АППАРАТУРА ДЛЯ ЗАПИСИ И ВОСПРОИЗВЕДЕНИЯ ТЕЛЕВИЗИОННОГО ИЗОБРАЖЕНИЯ И ЗВУКА, ИХ ЧАСТИ И ПРИНАДЛЕЖНОСТИ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8528 — Мониторы и проекторы, не включающие в свой состав приемную телевизионную аппаратуру; аппаратура приемная для телевизионной связи, включающая или не включающая в свой состав широковещательный радиоприемник или аппаратуру, записывающую или воспроизводящую звук или изображение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8528 52 — Мониторы прочие: подключаемые непосредственно к и разработанные для использования с вычислительными машинами товарной позиции 8471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8528 52 10 — Мониторы прочие: подключаемые непосредственно к и разработанные для использования с вычислительными машинами товарной позиции 8471: используемые исключительно или главным образом в вычислительных системах товарной позиции 8471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8528 52 100 0 — Мониторы прочие: подключаемые непосредственно к и разработанные для использования с вычислительными машинами товарной позиции 8471: используемые исключительно или главным образом в вычислительных системах товарной позиции 8471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5pxkfwvkpuxzna55qmovq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шт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yyberhojiiee_pruiwris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Какие документы нужны при ввозе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Декларация о соответствии — Постановление № 2425 (касается части товаров кода)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Декларация о соответствии — </w:t>
            </w:r>
            <w:hyperlink w:history="1" r:id="rIdgfekegahofqxjwmazqejx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ЕАЭС 048/2019</w:t>
              </w:r>
            </w:hyperlink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Сертификат соответствия — </w:t>
            </w:r>
            <w:hyperlink w:history="1" r:id="rIdpf_nszsuxvls5simp8kwt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ТС 004/2011</w:t>
              </w:r>
            </w:hyperlink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Сертификат соответствия — </w:t>
            </w:r>
            <w:hyperlink w:history="1" r:id="rId-e9a-kfmu3b0haqkm4boq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ТС 020/2011</w:t>
              </w:r>
            </w:hyperlink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Декларация о соответствии — </w:t>
            </w:r>
            <w:hyperlink w:history="1" r:id="rIdioh0udcrg8e9_tz80lc-x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ЕАЭС 037/2016</w:t>
              </w:r>
            </w:hyperlink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Декларация на собственных доказательствах (вместо сертификата) — </w:t>
            </w:r>
            <w:hyperlink w:history="1" r:id="rIdbe5s58tnqj1urro0jsok7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№ 353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№ 18, пункт 6 (до 01.09.2027, если товара нет в </w:t>
            </w:r>
            <w:hyperlink w:history="1" r:id="rIdm2epgmoisblltbgveedzc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приказе Минпромторга № 4114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: код в приказе назван, и решает наименование)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Санитарно-эпидемиологический надзор — </w:t>
            </w:r>
            <w:hyperlink w:history="1" r:id="rIdshik-zpxbpi-oj3g9sv-b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Евразийской экономической комиссии от 17.09.2019 № 154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(касается части товаров кода)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Лицензия или разрешение — </w:t>
            </w:r>
            <w:hyperlink w:history="1" r:id="rId5efktjaj_b9vees71tpju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30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раздел 2.16 (касается части товаров кода)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Регистрационное удостоверение медизделия — </w:t>
            </w:r>
            <w:hyperlink w:history="1" r:id="rIdoogthnowsw8aw8fq3hr35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Федеральный закон № 323-ФЗ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статья 38 (если товар относится к этому виду)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Ввоз без согласия правообладателя (параллельный импорт) — </w:t>
            </w:r>
            <w:hyperlink w:history="1" r:id="rIdmnvhtgje8gmscdqvpmcqx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Приказ Минпромторга России № 2701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пункты 343 и 370 (только для товарных знаков из перечня)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других стран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Страна продавца запрещает вывоз такого товара в Россию: касается товара, который покупают в этой стране или у её компаний.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ЕС: </w:t>
            </w:r>
            <w:hyperlink w:history="1" r:id="rId9ibczrwdtbxkx7sqleioj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Совета ЕС № 833/2014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XXIII (промышленные товары)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Великобритания: </w:t>
            </w:r>
            <w:hyperlink w:history="1" r:id="rIdoeda3e_nkrmamof-k03qb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Великобритании о санкциях против России 2019 года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3E (товары зависимости G7)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США: </w:t>
            </w:r>
            <w:hyperlink w:history="1" r:id="rIdwsfhj21bzpet3hhuewng7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Правила экспортного контроля США (EAR), часть 746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дополнение № 4 (промышленные товары)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Параллельный импорт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подпадает под перечень </w:t>
            </w:r>
            <w:hyperlink w:history="1" r:id="rIdssdrwavf65ggi-kuxwbxs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приказа Минпромторга России от 21.07.2023 № 2701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: товар, введённый в оборот за рубежом правообладателем или с его согласия, можно ввозить без согласия правообладателя, но только под товарными знаками пункта.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Пункт 343 (85): ABB, ACURA, ALFA ROMEO, AUDI, BALLUFF, BENTLEY, BERU, BMW, BOSCH, B&amp;R, CADILLAC, CHEVROLET, CHRYSLER, DAEWOO, DAIHATSU, DATSUN, DENSO, DODGE, FERRARI, FIAT, GENERAL MOTORS (GM), GMC, HELLA, HONDA, HUMMEL, HUMMER, HYUNDAI, INFINITI, JAGUAR, JEEP, KIA, LAND…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Пункт 370 (8528 52): ACER, AGILENT, AVC, AOC, APEM, APPLE, ASUS, BENQ, BON ELECTRONICS, BROADCOM, CISCO, DELL, DIGIS, EIZO, EPSON, EVERLIGHT ELECTRONICS, EXTRON, HARMAN, HARMAN/KARDON, HEWLETT PACKARD (HP), HITACHI, HPE, iiyama, JBL, JAVAD, JVC, KENWOOD, Leica, LG, LUMIEN,…; кроме знаков ACER, AOC, ASUS, BENQ, DELL, HPE, iiyama, LG, MSI, NEC, SAMSUNG, SONY, VIEWSONIC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0% — ставка Единого таможенного тарифа ЕАЭС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ЕТТ ЕАЭС в редакции </w:t>
            </w:r>
            <w:hyperlink w:history="1" r:id="rIdwp1aikla9zpbae0doax9f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№ 80 от 14.09.2021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, с 01.01.2022; более поздних решений о ставке по этому коду в нашем реестре нет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Товар из наименее развитых стран (46): преференция, ставка 0%.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Условия преференции: документ о происхождении товара и прямая поставка. </w:t>
            </w:r>
            <w:hyperlink w:history="1" r:id="rIdbmmjlxmu_wh4qk88adrtf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13.01.2017 № 8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Особые виды пошлин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Антидемпинговые, компенсационные и специальные пошлины по коду не применяются.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Договор о Евразийском экономическом союзе от 29.05.2014, приложение № 8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Акциз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Подакцизных видов товаров по коду нет (статья 181 НК РФ).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 при ввозе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22% — основная ставка (статья 164 НК РФ).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Без НДС — если товар отвечает наименованию перечня (</w:t>
            </w:r>
            <w:hyperlink w:history="1" r:id="rIdz6pe2aumao7ynrl9lflz7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30.09.2015 № 1042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), для медицинских изделий при их регистрации: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8528 52 — Оборудование для кабинетов и палат, оборудование для лабораторий и аптек 94 5200 (термостаты электрические; установки стоматологические универсальные; оборудование кабинетов и палат; оборудование стоматологическое, зубопротезное, оториноларингологическое; оборудование рентгенологическое,…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Зависит от таможенной стоимости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0 до 200 000 ₽ — 1 231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200 000 до 450 000 ₽ — 2 462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450 000 до 1 200 000 ₽ — 4 924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1 200 000 до 2 700 000 ₽ — 13 541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2 700 000 до 4 200 000 ₽ — 18 465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4 200 000 до 5 500 000 ₽ — 21 344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5 500 000 до 10 000 000 ₽ — 49 240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10 000 000 ₽ — 73 860 ₽</w:t>
            </w:r>
          </w:p>
          <w:p>
            <w:pPr>
              <w:spacing w:after="60"/>
            </w:pPr>
            <w:hyperlink w:history="1" r:id="rId2nazpgndetzyfyb95htrn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ввоз и вывоз: разрешительный порядок (лицензия, заключение или нотификация по положению о разделе) — Радиоэлектронные средства и (или) высокочастотные устройства гражданского назначения, в том числе встроенные либо входящие в состав других товаров (касается части товаров кода)</w:t>
            </w:r>
          </w:p>
          <w:p>
            <w:pPr>
              <w:spacing w:after="60"/>
            </w:pPr>
            <w:hyperlink w:history="1" r:id="rIdvmbcgc5xpovw5azm5ygnc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Коллегии ЕЭК от 21.04.2015 № 30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, раздел 2.16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Обязательная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в перечне товаров с обязательной маркировкой (</w:t>
            </w:r>
            <w:hyperlink w:history="1" r:id="rIdcmefdxrnpifqdjvlr21em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распоряжение № 792-р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в редакции № 1765-р, № 249-р и № 956-р).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Разрешительные документы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Постановление № 2425 «Единый перечень продукции: сертификация и декларирование в РФ»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декларация о соответствии: Реакторы, включая реакторы токоограничивающие бетонные (касается части товаров кода)</w:t>
            </w:r>
          </w:p>
          <w:p>
            <w:pPr>
              <w:spacing w:after="60"/>
            </w:pPr>
            <w:hyperlink w:history="1" r:id="rId0-swrvamgcbflle6zswyz">
              <w:r>
                <w:rPr>
                  <w:rFonts w:ascii="Arial" w:cs="Arial" w:eastAsia="Arial" w:hAnsi="Arial"/>
                  <w:b/>
                  <w:bCs/>
                  <w:color w:val="1F5FBF"/>
                  <w:sz w:val="19"/>
                  <w:szCs w:val="19"/>
                  <w:u w:val="single"/>
                </w:rPr>
                <w:t xml:space="preserve">ТР ЕАЭС 048/2019</w:t>
              </w:r>
            </w:hyperlink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 «О требованиях к энергетической эффективности энергопотребляющих устройств»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декларация о соответствии: м) мониторы;</w:t>
            </w:r>
          </w:p>
          <w:p>
            <w:pPr>
              <w:spacing w:after="60"/>
            </w:pPr>
            <w:hyperlink w:history="1" r:id="rId1vypen-fwp947joktpzyz">
              <w:r>
                <w:rPr>
                  <w:rFonts w:ascii="Arial" w:cs="Arial" w:eastAsia="Arial" w:hAnsi="Arial"/>
                  <w:b/>
                  <w:bCs/>
                  <w:color w:val="1F5FBF"/>
                  <w:sz w:val="19"/>
                  <w:szCs w:val="19"/>
                  <w:u w:val="single"/>
                </w:rPr>
                <w:t xml:space="preserve">ТР ТС 004/2011</w:t>
              </w:r>
            </w:hyperlink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 «О безопасности низковольтного оборудования»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сертификат соответствия: мониторы</w:t>
            </w:r>
          </w:p>
          <w:p>
            <w:pPr>
              <w:spacing w:after="60"/>
            </w:pPr>
            <w:hyperlink w:history="1" r:id="rIdqqyfaus1h537twzdjat3x">
              <w:r>
                <w:rPr>
                  <w:rFonts w:ascii="Arial" w:cs="Arial" w:eastAsia="Arial" w:hAnsi="Arial"/>
                  <w:b/>
                  <w:bCs/>
                  <w:color w:val="1F5FBF"/>
                  <w:sz w:val="19"/>
                  <w:szCs w:val="19"/>
                  <w:u w:val="single"/>
                </w:rPr>
                <w:t xml:space="preserve">ТР ТС 020/2011</w:t>
              </w:r>
            </w:hyperlink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 «Электромагнитная совместимость технических средств»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сертификат соответствия: мониторы</w:t>
            </w:r>
          </w:p>
          <w:p>
            <w:pPr>
              <w:spacing w:after="60"/>
            </w:pPr>
            <w:hyperlink w:history="1" r:id="rIdhujtm2zrvckzyqb09ifo1">
              <w:r>
                <w:rPr>
                  <w:rFonts w:ascii="Arial" w:cs="Arial" w:eastAsia="Arial" w:hAnsi="Arial"/>
                  <w:b/>
                  <w:bCs/>
                  <w:color w:val="1F5FBF"/>
                  <w:sz w:val="19"/>
                  <w:szCs w:val="19"/>
                  <w:u w:val="single"/>
                </w:rPr>
                <w:t xml:space="preserve">ТР ЕАЭС 037/2016</w:t>
              </w:r>
            </w:hyperlink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 «Об ограничении применения опасных веществ в изделиях электротехники и радиоэлектроники»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декларация о соответствии: мониторы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Если товар является медицинским изделием, ввоз и продажа в России допускаются после государственной регистрации: в Росздравнадзоре (статья 38 </w:t>
            </w:r>
            <w:hyperlink w:history="1" r:id="rId7xibchmkasikpn4if86ws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Федерального закона № 323-ФЗ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) или по правилам ЕАЭС (</w:t>
            </w:r>
            <w:hyperlink w:history="1" r:id="rIdxt0xibm_adeoxm_fdx7_n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от 12.02.2016 № 46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).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На практике по субпозиции 8528 52 действует сертификатов: 2355, деклараций: 2242; чаще по </w:t>
            </w:r>
            <w:hyperlink w:history="1" r:id="rIddm2pxzkz6n6cgzqvpjgoj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ТР ТС 020/2011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, </w:t>
            </w:r>
            <w:hyperlink w:history="1" r:id="rIdxqrpdjwqms-udad7gxwfw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ТР ТС 004/2011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, </w:t>
            </w:r>
            <w:hyperlink w:history="1" r:id="rIdbj6h40r91hv8nyixvxjc6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ТР ЕАЭС 037/2016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Ветеринарный, фитосанитарный и санитарный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Санитарно-эпидемиологический надзор (контроль) (в перечне названа вся группа: касается товаров с этим наименованием): Материалы, оборудование, вещества, устройства, применяемые в сфере хозяйственно-питьевого водоснабжения и при очистке сточных вод, в плавательных бассейнах; Продукция машиностроения и приборостроения производственного, медицинского и бытового назначения, кроме запасных частей к транспортным средствам и бытовой технике (за исключением контактирующих с питьевой водой и пищевыми продуктами);…</w:t>
            </w:r>
          </w:p>
          <w:p>
            <w:pPr>
              <w:spacing w:after="60"/>
            </w:pPr>
            <w:hyperlink w:history="1" r:id="rIdxpsa2yrssuuymssyzed4s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Коллегии Евразийской экономической комиссии от 17.09.2019 № 154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Прочие особенности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Деревянная упаковка и крепёжный материал (поддоны, ящики, прокладки) должны иметь маркировку по международному стандарту МСФМ № 15 (Единые карантинные фитосанитарные требования, </w:t>
            </w:r>
            <w:hyperlink w:history="1" r:id="rIdhmm2ju-nkthgskpncfbda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от 30.11.2016 № 157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).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Если на товаре есть товарный знак, проверьте его в таможенном реестре объектов интеллектуальной собственности: выпуск товара со знаком из реестра могут приостановить до подтверждения прав. Поиск по реестру: https://imexp.ru/tools/proverka-tovara?tab=trois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ни в одном из шести контрольных списков экспортного контроля (</w:t>
            </w:r>
            <w:hyperlink w:history="1" r:id="rId8bzfi4gvll8p6qydylj51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постановления Правительства РФ от 16.07.2022 № 1284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–1288 и от 19.07.2022 № 1299).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Предварительные решения других стран ЕАЭС (74); обязательны только в стране, которая их приняла: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Казахстан: Монитор Dell E2423H. Артикул/заводской номер 0533600600133 представляет собой конструктивно законченное устройство, предназначенное для визуального отображения графической и текстовой информации, передаваемой с персонального компьютера.…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ОПИ 1 и 6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Казахстан: Монитор Dell E2723H (TXM6T) – это устройство, которое отображает информацию передаваемую с персонального компьютера. Основной принцип действия монитора заключается в преобразовании данных, получаемых от персонального компьютера, в…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ОПИ 1 и 6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Казахстан: Монитор Gigabyte модели GS27FA EK предназначен для подключения персональных компьютеров и ноутбуков. Данный монитор не имеет технической возможности считывать, управлять или открывать информацию с носителей информации, а также не…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ОПИ 1 и 6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Казахстан: Монитор Gigabyte модели GS27Q EK предназначен для подключения персональных компьютеров и ноутбуков. Данный монитор не имеет технической возможности считывать, управлять или открывать информацию с носителей информации, а также не…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ОПИ 1 и 6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Казахстан: Монитор Gigabyte модели M27QA EK предназначен для подключения персональных компьютеров и ноутбуков. Данный монитор не имеет технической возможности считывать, управлять или открывать информацию с носителей информации, а также не…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ОПИ 1 и 6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Ещё решений: 69, все — на странице кода.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декларировать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Декларируется одним товаром, только если у товаров одинаковые товарный знак, марка, модель, артикул и характеристики.</w:t>
            </w:r>
          </w:p>
          <w:p>
            <w:pPr>
              <w:spacing w:after="60"/>
            </w:pPr>
            <w:hyperlink w:history="1" r:id="rIdbftefqpnqsrl1-vo7rxwe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, приложение 1 к Порядку заполнения декларации на товары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Можно ввозить в несобранном или разобранном виде несколькими партиями: таможня принимает решение о классификации товара целиком.</w:t>
            </w:r>
          </w:p>
          <w:p>
            <w:pPr>
              <w:spacing w:after="60"/>
            </w:pPr>
            <w:hyperlink w:history="1" r:id="rIdocap31ffj3qzheo4bd-am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Коллегии ЕЭК от 03.04.2018 № 45</w:t>
              </w:r>
            </w:hyperlink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 графе 31 (мониторы, проекторы, аппаратура приемная для телевизионной связи): диагональ экрана (для мониторов и аппаратуры приемной для телевизионной связи с видеодисплеем или экраном) (см); идентификационный номер (серийный заводской номер) либо информация об отсутствии такого номера</w:t>
            </w:r>
          </w:p>
          <w:p>
            <w:pPr>
              <w:spacing w:after="60"/>
            </w:pPr>
            <w:hyperlink w:history="1" r:id="rIdjss8rxvh2tf4d-83__1wm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, перечень сведений к графе 31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8528521000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 — во втором подразделе, если товар по характеристикам не подпадает под запреты и ограничения, которые применяются к коду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36 · Преференция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ОООО-ОО — Сборы, пошлина, акциз, НДС: льготы не запрашиваются, акциза нет (прочерк)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ООНН-ОО — Тарифная преференция в отношении товаров, происходящих из наименее развитых стран · если товар происходит из наименее развитой страны и происхождение подтверждено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ОООО-ХТ — Освобождение от уплаты НДС в отношении ввозимых в Российскую Федерацию медицинских изделий · если товар отвечает наименованию перечня освобождения от НДС (постановление № 1042)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44 · Представленные документы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01408 — Документ об оценке соответствия, предусмотренный законодательством государства – члена Евразийского экономического союза, на территории которого продукция (товар) помещается под таможенные процедуры · Постановление № 2425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01402 — Декларация о соответствии требованиям технического регламента Евразийского экономического союза (Таможенного союза) · </w:t>
            </w:r>
            <w:hyperlink w:history="1" r:id="rIdy-2qf8bh5fnexcde6cs8s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ЕАЭС 048/2019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; </w:t>
            </w:r>
            <w:hyperlink w:history="1" r:id="rIdx9khcrpudzyud0r_aamhv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ЕАЭС 037/2016</w:t>
              </w:r>
            </w:hyperlink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01401 — Сертификат соответствия требованиям технического регламента Евразийского экономического союза (Таможенного союза) · </w:t>
            </w:r>
            <w:hyperlink w:history="1" r:id="rIdlysl68hopznj8puks1fma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ТС 004/2011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; </w:t>
            </w:r>
            <w:hyperlink w:history="1" r:id="rIdt9ezjpvp6yq0aphlmnzpv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ТС 020/2011</w:t>
              </w:r>
            </w:hyperlink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01041 — Заключение (разрешительный документ) на ввоз радиоэлектронных средств и высокочастотных устройств гражданского назначения, в том числе встроенных либо входящих в состав других товаров · </w:t>
            </w:r>
            <w:hyperlink w:history="1" r:id="rIdhl4zlsly8fhdallri2gxv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30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раздел 2.16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06013 — Сертификат о происхождении товара формы "А" · если товар ввозится с тарифной преференцией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2010 — Ввозная таможенная пошлина (иные пошлины, налоги и сборы, имеющие эквивалентное действие), обязанность по уплате которой возникла с 1 сентября 2010 г.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5010 — Налог на добавленную стоимость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dyntj9oymqm3inn8qdjto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mdflymq-a9gb6uy-5z2fu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менялась ставка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Решения ЕЭК с 2016 года, в тексте которых назван код: ставка пошлины, тарифные квоты, защитные и антидемпинговые пошлины. Прежняя ставка — в таблице самого решения.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hgnbmbyhgfsob6ntp5bmq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ВЕЭС № 25 от 26.12.2016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перечень чувствительных товаров, в отношении которых решение об изменении ставки ввозной таможенной пошлины принимается Советом Евразийской экономической комиссии (вступило в силу 11.04.2017)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Другие решения ЕЭК по коду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qvks7hvinlvq3eldxqzdx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167 от 16.10.2018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Об утверждении перечня продукции, в отношении которой подача таможенной декларации сопровождается представлением документа об оценке соответствия требованиям технического регламента Евразийского… (вступило в силу 18.11.2018)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ouiemqknndepg2bjioxs2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54 от 16.05.2017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некоторые решения Коллегии Евразийской экономической комиссии (вступило в силу 17.06.2017)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_leldmnssckjq6tq8hga6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145 от 15.11.2016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некоторые решения Комиссии Таможенного союза и Евразийской экономической комиссии (вступило в силу 01.01.2017)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26.20.17 — Мониторы и проекторы, преимущественно используемые в системах автоматической обработки данных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26.40.34 — Мониторы и проекторы, без встроенной телевизионной приемной аппаратуры и в основном не используемые в системах автоматической обработки данных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Ключи не исчерпывающие: ОКПД2 выбирают по виду деятельности и продукции.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https://imexp.ru/katalog/kod/8528521000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5pxkfwvkpuxzna55qmovq" Type="http://schemas.openxmlformats.org/officeDocument/2006/relationships/hyperlink" Target="https://imexp.ru/akty/reshenie-soveta-eek-80-2021" TargetMode="External"/><Relationship Id="rIdyyberhojiiee_pruiwris" Type="http://schemas.openxmlformats.org/officeDocument/2006/relationships/hyperlink" Target="https://imexp.ru/akty/reshenie-soveta-eek-80-2021" TargetMode="External"/><Relationship Id="rIdgfekegahofqxjwmazqejx" Type="http://schemas.openxmlformats.org/officeDocument/2006/relationships/hyperlink" Target="https://imexp.ru/katalog/tehreglamenty/tr-eaes-048-2019" TargetMode="External"/><Relationship Id="rIdpf_nszsuxvls5simp8kwt" Type="http://schemas.openxmlformats.org/officeDocument/2006/relationships/hyperlink" Target="https://imexp.ru/katalog/tehreglamenty/tr-ts-004-2011" TargetMode="External"/><Relationship Id="rId-e9a-kfmu3b0haqkm4boq" Type="http://schemas.openxmlformats.org/officeDocument/2006/relationships/hyperlink" Target="https://imexp.ru/katalog/tehreglamenty/tr-ts-020-2011" TargetMode="External"/><Relationship Id="rIdioh0udcrg8e9_tz80lc-x" Type="http://schemas.openxmlformats.org/officeDocument/2006/relationships/hyperlink" Target="https://imexp.ru/katalog/tehreglamenty/tr-eaes-037-2016" TargetMode="External"/><Relationship Id="rIdbe5s58tnqj1urro0jsok7" Type="http://schemas.openxmlformats.org/officeDocument/2006/relationships/hyperlink" Target="https://imexp.ru/akty/postanovlenie-353-2022" TargetMode="External"/><Relationship Id="rIdm2epgmoisblltbgveedzc" Type="http://schemas.openxmlformats.org/officeDocument/2006/relationships/hyperlink" Target="https://imexp.ru/akty/prikaz-minpromtorga-4114-2024" TargetMode="External"/><Relationship Id="rIdshik-zpxbpi-oj3g9sv-b" Type="http://schemas.openxmlformats.org/officeDocument/2006/relationships/hyperlink" Target="https://imexp.ru/akty/reshenie-kollegii-eek-154-2019" TargetMode="External"/><Relationship Id="rId5efktjaj_b9vees71tpju" Type="http://schemas.openxmlformats.org/officeDocument/2006/relationships/hyperlink" Target="https://imexp.ru/akty/reshenie-kollegii-eek-30-2015" TargetMode="External"/><Relationship Id="rIdoogthnowsw8aw8fq3hr35" Type="http://schemas.openxmlformats.org/officeDocument/2006/relationships/hyperlink" Target="https://imexp.ru/akty/federalnyy-zakon-323-fz-2011" TargetMode="External"/><Relationship Id="rIdmnvhtgje8gmscdqvpmcqx" Type="http://schemas.openxmlformats.org/officeDocument/2006/relationships/hyperlink" Target="https://imexp.ru/akty/prikaz-minpromtorga-2701-2023" TargetMode="External"/><Relationship Id="rId9ibczrwdtbxkx7sqleioj" Type="http://schemas.openxmlformats.org/officeDocument/2006/relationships/hyperlink" Target="https://eur-lex.europa.eu/eli/reg/2014/833/oj/eng" TargetMode="External"/><Relationship Id="rIdoeda3e_nkrmamof-k03qb" Type="http://schemas.openxmlformats.org/officeDocument/2006/relationships/hyperlink" Target="https://www.legislation.gov.uk/uksi/2019/855/contents" TargetMode="External"/><Relationship Id="rIdwsfhj21bzpet3hhuewng7" Type="http://schemas.openxmlformats.org/officeDocument/2006/relationships/hyperlink" Target="https://www.ecfr.gov/current/title-15/subtitle-B/chapter-VII/subchapter-C/part-746" TargetMode="External"/><Relationship Id="rIdssdrwavf65ggi-kuxwbxs" Type="http://schemas.openxmlformats.org/officeDocument/2006/relationships/hyperlink" Target="https://imexp.ru/akty/prikaz-minpromtorga-2701-2023" TargetMode="External"/><Relationship Id="rIdwp1aikla9zpbae0doax9f" Type="http://schemas.openxmlformats.org/officeDocument/2006/relationships/hyperlink" Target="https://imexp.ru/akty/reshenie-soveta-eek-80-2021" TargetMode="External"/><Relationship Id="rIdbmmjlxmu_wh4qk88adrtf" Type="http://schemas.openxmlformats.org/officeDocument/2006/relationships/hyperlink" Target="https://imexp.ru/akty/reshenie-soveta-eek-8-2017" TargetMode="External"/><Relationship Id="rIdz6pe2aumao7ynrl9lflz7" Type="http://schemas.openxmlformats.org/officeDocument/2006/relationships/hyperlink" Target="https://imexp.ru/akty/postanovlenie-1042-2015" TargetMode="External"/><Relationship Id="rId2nazpgndetzyfyb95htrn" Type="http://schemas.openxmlformats.org/officeDocument/2006/relationships/hyperlink" Target="https://imexp.ru/akty/postanovlenie-1637-2024" TargetMode="External"/><Relationship Id="rIdvmbcgc5xpovw5azm5ygnc" Type="http://schemas.openxmlformats.org/officeDocument/2006/relationships/hyperlink" Target="https://imexp.ru/akty/reshenie-kollegii-eek-30-2015" TargetMode="External"/><Relationship Id="rIdcmefdxrnpifqdjvlr21em" Type="http://schemas.openxmlformats.org/officeDocument/2006/relationships/hyperlink" Target="https://imexp.ru/akty/rasporyazhenie-792-r-2018" TargetMode="External"/><Relationship Id="rId0-swrvamgcbflle6zswyz" Type="http://schemas.openxmlformats.org/officeDocument/2006/relationships/hyperlink" Target="https://imexp.ru/katalog/tehreglamenty/tr-eaes-048-2019" TargetMode="External"/><Relationship Id="rId1vypen-fwp947joktpzyz" Type="http://schemas.openxmlformats.org/officeDocument/2006/relationships/hyperlink" Target="https://imexp.ru/katalog/tehreglamenty/tr-ts-004-2011" TargetMode="External"/><Relationship Id="rIdqqyfaus1h537twzdjat3x" Type="http://schemas.openxmlformats.org/officeDocument/2006/relationships/hyperlink" Target="https://imexp.ru/katalog/tehreglamenty/tr-ts-020-2011" TargetMode="External"/><Relationship Id="rIdhujtm2zrvckzyqb09ifo1" Type="http://schemas.openxmlformats.org/officeDocument/2006/relationships/hyperlink" Target="https://imexp.ru/katalog/tehreglamenty/tr-eaes-037-2016" TargetMode="External"/><Relationship Id="rId7xibchmkasikpn4if86ws" Type="http://schemas.openxmlformats.org/officeDocument/2006/relationships/hyperlink" Target="https://imexp.ru/akty/federalnyy-zakon-323-fz-2011" TargetMode="External"/><Relationship Id="rIdxt0xibm_adeoxm_fdx7_n" Type="http://schemas.openxmlformats.org/officeDocument/2006/relationships/hyperlink" Target="https://imexp.ru/akty/reshenie-soveta-eek-46-2016" TargetMode="External"/><Relationship Id="rIddm2pxzkz6n6cgzqvpjgoj" Type="http://schemas.openxmlformats.org/officeDocument/2006/relationships/hyperlink" Target="https://imexp.ru/katalog/tehreglamenty/tr-ts-020-2011" TargetMode="External"/><Relationship Id="rIdxqrpdjwqms-udad7gxwfw" Type="http://schemas.openxmlformats.org/officeDocument/2006/relationships/hyperlink" Target="https://imexp.ru/katalog/tehreglamenty/tr-ts-004-2011" TargetMode="External"/><Relationship Id="rIdbj6h40r91hv8nyixvxjc6" Type="http://schemas.openxmlformats.org/officeDocument/2006/relationships/hyperlink" Target="https://imexp.ru/katalog/tehreglamenty/tr-eaes-037-2016" TargetMode="External"/><Relationship Id="rIdxpsa2yrssuuymssyzed4s" Type="http://schemas.openxmlformats.org/officeDocument/2006/relationships/hyperlink" Target="https://imexp.ru/akty/reshenie-kollegii-eek-154-2019" TargetMode="External"/><Relationship Id="rIdhmm2ju-nkthgskpncfbda" Type="http://schemas.openxmlformats.org/officeDocument/2006/relationships/hyperlink" Target="https://imexp.ru/akty/reshenie-soveta-eek-157-2016" TargetMode="External"/><Relationship Id="rId8bzfi4gvll8p6qydylj51" Type="http://schemas.openxmlformats.org/officeDocument/2006/relationships/hyperlink" Target="https://imexp.ru/akty/postanovlenie-1284-2022" TargetMode="External"/><Relationship Id="rIdbftefqpnqsrl1-vo7rxwe" Type="http://schemas.openxmlformats.org/officeDocument/2006/relationships/hyperlink" Target="https://imexp.ru/akty/reshenie-kts-257-2010" TargetMode="External"/><Relationship Id="rIdocap31ffj3qzheo4bd-am" Type="http://schemas.openxmlformats.org/officeDocument/2006/relationships/hyperlink" Target="https://imexp.ru/akty/reshenie-kollegii-eek-45-2018" TargetMode="External"/><Relationship Id="rIdjss8rxvh2tf4d-83__1wm" Type="http://schemas.openxmlformats.org/officeDocument/2006/relationships/hyperlink" Target="https://imexp.ru/akty/reshenie-kts-257-2010" TargetMode="External"/><Relationship Id="rIdy-2qf8bh5fnexcde6cs8s" Type="http://schemas.openxmlformats.org/officeDocument/2006/relationships/hyperlink" Target="https://imexp.ru/katalog/tehreglamenty/tr-eaes-048-2019" TargetMode="External"/><Relationship Id="rIdx9khcrpudzyud0r_aamhv" Type="http://schemas.openxmlformats.org/officeDocument/2006/relationships/hyperlink" Target="https://imexp.ru/katalog/tehreglamenty/tr-eaes-037-2016" TargetMode="External"/><Relationship Id="rIdlysl68hopznj8puks1fma" Type="http://schemas.openxmlformats.org/officeDocument/2006/relationships/hyperlink" Target="https://imexp.ru/katalog/tehreglamenty/tr-ts-004-2011" TargetMode="External"/><Relationship Id="rIdt9ezjpvp6yq0aphlmnzpv" Type="http://schemas.openxmlformats.org/officeDocument/2006/relationships/hyperlink" Target="https://imexp.ru/katalog/tehreglamenty/tr-ts-020-2011" TargetMode="External"/><Relationship Id="rIdhl4zlsly8fhdallri2gxv" Type="http://schemas.openxmlformats.org/officeDocument/2006/relationships/hyperlink" Target="https://imexp.ru/akty/reshenie-kollegii-eek-30-2015" TargetMode="External"/><Relationship Id="rIddyntj9oymqm3inn8qdjto" Type="http://schemas.openxmlformats.org/officeDocument/2006/relationships/hyperlink" Target="https://imexp.ru/akty/reshenie-kts-257-2010" TargetMode="External"/><Relationship Id="rIdmdflymq-a9gb6uy-5z2fu" Type="http://schemas.openxmlformats.org/officeDocument/2006/relationships/hyperlink" Target="https://imexp.ru/akty/reshenie-kts-378-2010" TargetMode="External"/><Relationship Id="rIdhgnbmbyhgfsob6ntp5bmq" Type="http://schemas.openxmlformats.org/officeDocument/2006/relationships/hyperlink" Target="https://docs.eaeunion.org/documents/312/2888/" TargetMode="External"/><Relationship Id="rIdqvks7hvinlvq3eldxqzdx" Type="http://schemas.openxmlformats.org/officeDocument/2006/relationships/hyperlink" Target="https://docs.eaeunion.org/documents/253/3910/" TargetMode="External"/><Relationship Id="rIdouiemqknndepg2bjioxs2" Type="http://schemas.openxmlformats.org/officeDocument/2006/relationships/hyperlink" Target="https://docs.eaeunion.org/documents/315/2971/" TargetMode="External"/><Relationship Id="rId_leldmnssckjq6tq8hga6" Type="http://schemas.openxmlformats.org/officeDocument/2006/relationships/hyperlink" Target="https://docs.eaeunion.org/documents/305/2571/" TargetMode="External"/><Relationship Id="rId55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8528 52 100 0</dc:title>
  <dc:creator>IMEXP</dc:creator>
  <cp:lastModifiedBy>Un-named</cp:lastModifiedBy>
  <cp:revision>1</cp:revision>
  <dcterms:created xsi:type="dcterms:W3CDTF">2026-11-08T16:09:36.240Z</dcterms:created>
  <dcterms:modified xsi:type="dcterms:W3CDTF">2026-11-08T16:09:36.240Z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