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9006 69 000 9</w:t>
      </w:r>
    </w:p>
    <w:p>
      <w:pPr>
        <w:spacing w:after="200"/>
      </w:pPr>
      <w:r>
        <w:rPr>
          <w:rFonts w:ascii="Arial" w:cs="Arial" w:eastAsia="Arial" w:hAnsi="Arial"/>
          <w:color w:val="5B6472"/>
          <w:sz w:val="19"/>
          <w:szCs w:val="19"/>
        </w:rPr>
        <w:t xml:space="preserve">Сведения на 29.10.2026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XVIII. Инструменты и аппараты оптические, фотографические, кинематографические, измерительные, контрольные, прецизионные, медицинские или хирургические; часы всех видов; музыкальные инструменты; их части и принадлежности</w:t>
            </w:r>
          </w:p>
          <w:p>
            <w:pPr>
              <w:spacing w:after="60"/>
            </w:pPr>
            <w:r>
              <w:rPr>
                <w:rFonts w:ascii="Arial" w:cs="Arial" w:eastAsia="Arial" w:hAnsi="Arial"/>
                <w:color w:val="5B6472"/>
                <w:sz w:val="17"/>
                <w:szCs w:val="17"/>
              </w:rPr>
              <w:t xml:space="preserve">90 — ИНСТРУМЕНТЫ И АППАРАТЫ ОПТИЧЕСКИЕ, ФОТОГРАФИЧЕСКИЕ, КИНЕМАТОГРАФИЧЕСКИЕ, ИЗМЕРИТЕЛЬНЫЕ, КОНТРОЛЬНЫЕ, ПРЕЦИЗИОННЫЕ, МЕДИЦИНСКИЕ ИЛИ ХИРУРГИЧЕСКИЕ; ИХ ЧАСТИ И ПРИНАДЛЕЖНОСТИ</w:t>
            </w:r>
          </w:p>
          <w:p>
            <w:pPr>
              <w:spacing w:after="60"/>
            </w:pPr>
            <w:r>
              <w:rPr>
                <w:rFonts w:ascii="Arial" w:cs="Arial" w:eastAsia="Arial" w:hAnsi="Arial"/>
                <w:color w:val="5B6472"/>
                <w:sz w:val="17"/>
                <w:szCs w:val="17"/>
              </w:rPr>
              <w:t xml:space="preserve">9006 — Фотокамеры (кроме кинокамер); фотовспышки и лампы-вспышки, кроме газоразрядных ламп товарной позиции 8539</w:t>
            </w:r>
          </w:p>
          <w:p>
            <w:pPr>
              <w:spacing w:after="60"/>
            </w:pPr>
            <w:r>
              <w:rPr>
                <w:rFonts w:ascii="Arial" w:cs="Arial" w:eastAsia="Arial" w:hAnsi="Arial"/>
                <w:color w:val="5B6472"/>
                <w:sz w:val="17"/>
                <w:szCs w:val="17"/>
              </w:rPr>
              <w:t xml:space="preserve">9006 69 — Фотовспышки и лампы-вспышки: прочие</w:t>
            </w:r>
          </w:p>
          <w:p>
            <w:pPr>
              <w:spacing w:after="60"/>
            </w:pPr>
            <w:r>
              <w:rPr>
                <w:rFonts w:ascii="Arial" w:cs="Arial" w:eastAsia="Arial" w:hAnsi="Arial"/>
                <w:color w:val="5B6472"/>
                <w:sz w:val="17"/>
                <w:szCs w:val="17"/>
              </w:rPr>
              <w:t xml:space="preserve">9006 69 00 — Фотовспышки и лампы-вспышки: прочие</w:t>
            </w:r>
          </w:p>
          <w:p>
            <w:pPr>
              <w:spacing w:after="60"/>
            </w:pPr>
            <w:r>
              <w:rPr>
                <w:rFonts w:ascii="Arial" w:cs="Arial" w:eastAsia="Arial" w:hAnsi="Arial"/>
                <w:b/>
                <w:bCs/>
                <w:sz w:val="19"/>
                <w:szCs w:val="19"/>
              </w:rPr>
              <w:t xml:space="preserve">9006 69 000 9 — Фотовспышки и лампы-вспышки: прочие: прочие</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pdurcsyei0oain0idvqyx">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шт</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dtt14rdbl5hvvjt4m4jgo">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ztkhdgcphuqsawjutpr7l">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Маркировка средствами идентификации — </w:t>
            </w:r>
            <w:hyperlink w:history="1" r:id="rIdcdrznmlewgku7z4mnhihl">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пункт 73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byslkgmdyoyrnbvmxu-di">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пункты 412 и 416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ЕС: </w:t>
            </w:r>
            <w:hyperlink w:history="1" r:id="rId1tavl15dpfdlifufkmjxs">
              <w:r>
                <w:rPr>
                  <w:rFonts w:ascii="Arial" w:cs="Arial" w:eastAsia="Arial" w:hAnsi="Arial"/>
                  <w:color w:val="1F5FBF"/>
                  <w:sz w:val="19"/>
                  <w:szCs w:val="19"/>
                  <w:u w:val="single"/>
                </w:rPr>
                <w:t xml:space="preserve">Регламент Совета ЕС № 833/2014</w:t>
              </w:r>
            </w:hyperlink>
            <w:r>
              <w:rPr>
                <w:rFonts w:ascii="Arial" w:cs="Arial" w:eastAsia="Arial" w:hAnsi="Arial"/>
                <w:sz w:val="19"/>
                <w:szCs w:val="19"/>
              </w:rPr>
              <w:t xml:space="preserve">, приложение XVIII (предметы роскоши) (дороже порога цены из приложения)</w:t>
            </w:r>
          </w:p>
          <w:p>
            <w:pPr>
              <w:spacing w:after="60"/>
              <w:ind w:left="220" w:hanging="160"/>
            </w:pPr>
            <w:r>
              <w:rPr>
                <w:rFonts w:ascii="Arial" w:cs="Arial" w:eastAsia="Arial" w:hAnsi="Arial"/>
                <w:sz w:val="19"/>
                <w:szCs w:val="19"/>
              </w:rPr>
              <w:t xml:space="preserve">• Великобритания: </w:t>
            </w:r>
            <w:hyperlink w:history="1" r:id="rIdw9uewh1yqsqdjo_xgxb7r">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3A (предметы роскоши) (дороже порога цены из приложения); Регламент Великобритании о санкциях против России 2019 года, приложение 3E (товары зависимости G7)</w:t>
            </w:r>
          </w:p>
          <w:p>
            <w:pPr>
              <w:spacing w:after="60"/>
              <w:ind w:left="220" w:hanging="160"/>
            </w:pPr>
            <w:r>
              <w:rPr>
                <w:rFonts w:ascii="Arial" w:cs="Arial" w:eastAsia="Arial" w:hAnsi="Arial"/>
                <w:sz w:val="19"/>
                <w:szCs w:val="19"/>
              </w:rPr>
              <w:t xml:space="preserve">• США: </w:t>
            </w:r>
            <w:hyperlink w:history="1" r:id="rId053bvu_4njm1_zsdm3jwk">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qwtd_zighc_rdyffxtzq-">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412 (90): ACURA, ALFA ROMEO, AUDI, BALLUFF, BENTLEY, BMW, CADILLAC, CHEVROLET, CHRYSLER, DAEWOO, DAIHATSU, DATSUN, DODGE, FERRARI, FIAT, GENERAL MOTORS (GM), GMC, HEIDENHAIN, HONDA, HUMMER, HYUNDAI, INFINITI, JAGUAR, JEEP, LAND ROVER, LEXUS, LINCOLN, KIA, MASERATI,…</w:t>
            </w:r>
          </w:p>
          <w:p>
            <w:pPr>
              <w:spacing w:after="60"/>
              <w:ind w:left="220" w:hanging="160"/>
            </w:pPr>
            <w:r>
              <w:rPr>
                <w:rFonts w:ascii="Arial" w:cs="Arial" w:eastAsia="Arial" w:hAnsi="Arial"/>
                <w:sz w:val="19"/>
                <w:szCs w:val="19"/>
              </w:rPr>
              <w:t xml:space="preserve">• Пункт 416 (9006): CANON, FUJIFILM, GOPRO, KODAK, NIKON, OLYMPUS, PANASONIC, POLAROID, SONY</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10%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a47hgrajcihdovntwaevf">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73 860 ₽ за декларацию: код в перечне радиоэлектроники с отдельной ставкой сбора.</w:t>
            </w:r>
          </w:p>
          <w:p>
            <w:pPr>
              <w:spacing w:after="60"/>
            </w:pPr>
            <w:hyperlink w:history="1" r:id="rIdugu-vqx9ogun8p4vs1brw">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Пункт 73. Фотокамеры (кроме кинокамер), фотовспышки и лампы-вспышки; срок введения: 1 декабря 2019 г. (касается части товаров кода)</w:t>
            </w:r>
          </w:p>
          <w:p>
            <w:pPr>
              <w:spacing w:after="60"/>
            </w:pPr>
            <w:hyperlink w:history="1" r:id="rId1oobfjknng5kvnh61gorq">
              <w:r>
                <w:rPr>
                  <w:rFonts w:ascii="Arial" w:cs="Arial" w:eastAsia="Arial" w:hAnsi="Arial"/>
                  <w:color w:val="1F5FBF"/>
                  <w:sz w:val="17"/>
                  <w:szCs w:val="17"/>
                  <w:u w:val="single"/>
                </w:rPr>
                <w:t xml:space="preserve">Распоряжение Правительства РФ от 28.04.2018 № 792-р</w:t>
              </w:r>
            </w:hyperlink>
            <w:r>
              <w:rPr>
                <w:rFonts w:ascii="Arial" w:cs="Arial" w:eastAsia="Arial" w:hAnsi="Arial"/>
                <w:color w:val="5B6472"/>
                <w:sz w:val="17"/>
                <w:szCs w:val="17"/>
              </w:rPr>
              <w:t xml:space="preserve"> в редакции распоряжений от 04.07.2024 № 1765-р, от 07.02.2025 № 249-р и от 27.04.2026 № 956-р. Подлежит ли маркировке товар, решают его наименование и код ОКПД 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color w:val="5B6472"/>
                <w:sz w:val="17"/>
                <w:szCs w:val="17"/>
              </w:rPr>
              <w:t xml:space="preserve">На практике по субпозиции 9006 69 действует сертификатов: 0, деклараций: 19; чаще по </w:t>
            </w:r>
            <w:hyperlink w:history="1" r:id="rIdniblvrwr2yuknmgoi5tqj">
              <w:r>
                <w:rPr>
                  <w:rFonts w:ascii="Arial" w:cs="Arial" w:eastAsia="Arial" w:hAnsi="Arial"/>
                  <w:color w:val="1F5FBF"/>
                  <w:sz w:val="17"/>
                  <w:szCs w:val="17"/>
                  <w:u w:val="single"/>
                </w:rPr>
                <w:t xml:space="preserve">ТР ТС 020/2011</w:t>
              </w:r>
            </w:hyperlink>
            <w:r>
              <w:rPr>
                <w:rFonts w:ascii="Arial" w:cs="Arial" w:eastAsia="Arial" w:hAnsi="Arial"/>
                <w:color w:val="5B6472"/>
                <w:sz w:val="17"/>
                <w:szCs w:val="17"/>
              </w:rPr>
              <w:t xml:space="preserve">, </w:t>
            </w:r>
            <w:hyperlink w:history="1" r:id="rIdyqt2rylmjezqvvojkrny3">
              <w:r>
                <w:rPr>
                  <w:rFonts w:ascii="Arial" w:cs="Arial" w:eastAsia="Arial" w:hAnsi="Arial"/>
                  <w:color w:val="1F5FBF"/>
                  <w:sz w:val="17"/>
                  <w:szCs w:val="17"/>
                  <w:u w:val="single"/>
                </w:rPr>
                <w:t xml:space="preserve">ТР ТС 004/2011</w:t>
              </w:r>
            </w:hyperlink>
            <w:r>
              <w:rPr>
                <w:rFonts w:ascii="Arial" w:cs="Arial" w:eastAsia="Arial" w:hAnsi="Arial"/>
                <w:color w:val="5B6472"/>
                <w:sz w:val="17"/>
                <w:szCs w:val="17"/>
              </w:rPr>
              <w:t xml:space="preserve">, </w:t>
            </w:r>
            <w:hyperlink w:history="1" r:id="rIdv7edl0pnycebqivbdgwsh">
              <w:r>
                <w:rPr>
                  <w:rFonts w:ascii="Arial" w:cs="Arial" w:eastAsia="Arial" w:hAnsi="Arial"/>
                  <w:color w:val="1F5FBF"/>
                  <w:sz w:val="17"/>
                  <w:szCs w:val="17"/>
                  <w:u w:val="single"/>
                </w:rPr>
                <w:t xml:space="preserve">ТР ЕАЭС 037/2016</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машиностроения и приборостроения производственного, медицинского и бытового назначения, кроме запасных частей к транспортным средствам и бытовой технике (за исключением контактирующих с питьевой водой и пищевыми продуктами); Средства индивидуальной защиты; Иная продукция (товары), в отношении которой одним из государств – членов Евразийского экономического союза введены временные…</w:t>
            </w:r>
          </w:p>
          <w:p>
            <w:pPr>
              <w:spacing w:after="60"/>
            </w:pPr>
            <w:hyperlink w:history="1" r:id="rIdju09xcobkfcnml5nby_6b">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syvb-qhm4el6y0eopnbfo">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декларировать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Можно ввозить в несобранном или разобранном виде несколькими партиями: таможня принимает решение о классификации товара целиком.</w:t>
            </w:r>
          </w:p>
          <w:p>
            <w:pPr>
              <w:spacing w:after="60"/>
            </w:pPr>
            <w:hyperlink w:history="1" r:id="rIdskvbqu4cemcfjw_fzvr3n">
              <w:r>
                <w:rPr>
                  <w:rFonts w:ascii="Arial" w:cs="Arial" w:eastAsia="Arial" w:hAnsi="Arial"/>
                  <w:color w:val="1F5FBF"/>
                  <w:sz w:val="17"/>
                  <w:szCs w:val="17"/>
                  <w:u w:val="single"/>
                </w:rPr>
                <w:t xml:space="preserve">Решение Коллегии ЕЭК от 03.04.2018 № 45</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9006690009</w:t>
            </w:r>
          </w:p>
          <w:p>
            <w:pPr>
              <w:spacing w:after="60"/>
              <w:ind w:left="220" w:hanging="160"/>
            </w:pPr>
            <w:r>
              <w:rPr>
                <w:rFonts w:ascii="Arial" w:cs="Arial" w:eastAsia="Arial" w:hAnsi="Arial"/>
                <w:sz w:val="19"/>
                <w:szCs w:val="19"/>
              </w:rPr>
              <w:t xml:space="preserve">• М — во втором подразделе, если товар в перечне маркировки, но её требования на него не распространяются</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plfeehidmdmvjwskbsxbf">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4ieshlg9ljo-u4m9bqqgh">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uky5t38gu_bbr7g6xhmjg">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p>
            <w:pPr>
              <w:spacing w:after="60"/>
              <w:ind w:left="220" w:hanging="160"/>
            </w:pPr>
            <w:r>
              <w:rPr>
                <w:rFonts w:ascii="Arial" w:cs="Arial" w:eastAsia="Arial" w:hAnsi="Arial"/>
                <w:sz w:val="19"/>
                <w:szCs w:val="19"/>
              </w:rPr>
              <w:t xml:space="preserve">• </w:t>
            </w:r>
            <w:hyperlink w:history="1" r:id="rId7efoyceacbcavmb8ptihw">
              <w:r>
                <w:rPr>
                  <w:rFonts w:ascii="Arial" w:cs="Arial" w:eastAsia="Arial" w:hAnsi="Arial"/>
                  <w:color w:val="1F5FBF"/>
                  <w:sz w:val="19"/>
                  <w:szCs w:val="19"/>
                  <w:u w:val="single"/>
                </w:rPr>
                <w:t xml:space="preserve">Решение Совета ЕЭК № 54 от 14.06.2018</w:t>
              </w:r>
            </w:hyperlink>
            <w:r>
              <w:rPr>
                <w:rFonts w:ascii="Arial" w:cs="Arial" w:eastAsia="Arial" w:hAnsi="Arial"/>
                <w:sz w:val="19"/>
                <w:szCs w:val="19"/>
              </w:rPr>
              <w:t xml:space="preserve"> — О внесении изменений в некоторые решения Совета Евразийской экономической комиссии в отношении отдельных видов светодиодных источников света (вступило в силу 19.08.2018)</w:t>
            </w:r>
          </w:p>
          <w:p>
            <w:pPr>
              <w:spacing w:after="60"/>
              <w:ind w:left="220" w:hanging="160"/>
            </w:pPr>
            <w:r>
              <w:rPr>
                <w:rFonts w:ascii="Arial" w:cs="Arial" w:eastAsia="Arial" w:hAnsi="Arial"/>
                <w:sz w:val="19"/>
                <w:szCs w:val="19"/>
              </w:rPr>
              <w:t xml:space="preserve">• </w:t>
            </w:r>
            <w:hyperlink w:history="1" r:id="rIdeevtv1wjmyfiubddvsdkl">
              <w:r>
                <w:rPr>
                  <w:rFonts w:ascii="Arial" w:cs="Arial" w:eastAsia="Arial" w:hAnsi="Arial"/>
                  <w:color w:val="1F5FBF"/>
                  <w:sz w:val="19"/>
                  <w:szCs w:val="19"/>
                  <w:u w:val="single"/>
                </w:rPr>
                <w:t xml:space="preserve">Решение Коллегии ЕЭК № 67 от 10.05.2018</w:t>
              </w:r>
            </w:hyperlink>
            <w:r>
              <w:rPr>
                <w:rFonts w:ascii="Arial" w:cs="Arial" w:eastAsia="Arial" w:hAnsi="Arial"/>
                <w:sz w:val="19"/>
                <w:szCs w:val="19"/>
              </w:rPr>
              <w:t xml:space="preserve"> —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 в отношении…</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Другие решения ЕЭК по коду</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njnauydlyn8_k9au4cxzt">
              <w:r>
                <w:rPr>
                  <w:rFonts w:ascii="Arial" w:cs="Arial" w:eastAsia="Arial" w:hAnsi="Arial"/>
                  <w:color w:val="1F5FBF"/>
                  <w:sz w:val="19"/>
                  <w:szCs w:val="19"/>
                  <w:u w:val="single"/>
                </w:rPr>
                <w:t xml:space="preserve">Решение Совета ЕЭК № 1 от 24.01.2025</w:t>
              </w:r>
            </w:hyperlink>
            <w:r>
              <w:rPr>
                <w:rFonts w:ascii="Arial" w:cs="Arial" w:eastAsia="Arial" w:hAnsi="Arial"/>
                <w:sz w:val="19"/>
                <w:szCs w:val="19"/>
              </w:rPr>
              <w:t xml:space="preserve"> — О внесении изменений в Решение Совета Евразийской экономической комиссии от 23 ноября 2020 г. № 105 (вступило в силу 03.02.2025)</w:t>
            </w:r>
          </w:p>
          <w:p>
            <w:pPr>
              <w:spacing w:after="60"/>
              <w:ind w:left="220" w:hanging="160"/>
            </w:pPr>
            <w:r>
              <w:rPr>
                <w:rFonts w:ascii="Arial" w:cs="Arial" w:eastAsia="Arial" w:hAnsi="Arial"/>
                <w:sz w:val="19"/>
                <w:szCs w:val="19"/>
              </w:rPr>
              <w:t xml:space="preserve">• </w:t>
            </w:r>
            <w:hyperlink w:history="1" r:id="rId9chpyg03_nzlaloyqowr_">
              <w:r>
                <w:rPr>
                  <w:rFonts w:ascii="Arial" w:cs="Arial" w:eastAsia="Arial" w:hAnsi="Arial"/>
                  <w:color w:val="1F5FBF"/>
                  <w:sz w:val="19"/>
                  <w:szCs w:val="19"/>
                  <w:u w:val="single"/>
                </w:rPr>
                <w:t xml:space="preserve">Решение Совета ЕЭК № 138 от 02.12.2021</w:t>
              </w:r>
            </w:hyperlink>
            <w:r>
              <w:rPr>
                <w:rFonts w:ascii="Arial" w:cs="Arial" w:eastAsia="Arial" w:hAnsi="Arial"/>
                <w:sz w:val="19"/>
                <w:szCs w:val="19"/>
              </w:rPr>
              <w:t xml:space="preserve"> — О внесении изменений в некоторые решения Совета Евразийской экономической комиссии по вопросам маркировки товаров средствами идентификации (вступило в силу 13.12.2021)</w:t>
            </w:r>
          </w:p>
          <w:p>
            <w:pPr>
              <w:spacing w:after="60"/>
              <w:ind w:left="220" w:hanging="160"/>
            </w:pPr>
            <w:r>
              <w:rPr>
                <w:rFonts w:ascii="Arial" w:cs="Arial" w:eastAsia="Arial" w:hAnsi="Arial"/>
                <w:sz w:val="19"/>
                <w:szCs w:val="19"/>
              </w:rPr>
              <w:t xml:space="preserve">• </w:t>
            </w:r>
            <w:hyperlink w:history="1" r:id="rIdlfwywmheo3dyt3mr5pt0p">
              <w:r>
                <w:rPr>
                  <w:rFonts w:ascii="Arial" w:cs="Arial" w:eastAsia="Arial" w:hAnsi="Arial"/>
                  <w:color w:val="1F5FBF"/>
                  <w:sz w:val="19"/>
                  <w:szCs w:val="19"/>
                  <w:u w:val="single"/>
                </w:rPr>
                <w:t xml:space="preserve">Решение Совета ЕЭК № 130 от 18.11.2019</w:t>
              </w:r>
            </w:hyperlink>
            <w:r>
              <w:rPr>
                <w:rFonts w:ascii="Arial" w:cs="Arial" w:eastAsia="Arial" w:hAnsi="Arial"/>
                <w:sz w:val="19"/>
                <w:szCs w:val="19"/>
              </w:rPr>
              <w:t xml:space="preserve"> — О введении маркировки фотокамер (кроме кинокамер), фотовспышек и ламп-вспышек средствами идентификации (вступило в силу 12.06.2020)</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26.70.17 — Фотовспышки; фотоувеличители; аппаратура для фотолабораторий; негатоскопы, проекционные экраны</w:t>
            </w:r>
          </w:p>
          <w:p>
            <w:pPr>
              <w:spacing w:after="60"/>
              <w:ind w:left="220" w:hanging="160"/>
            </w:pPr>
            <w:r>
              <w:rPr>
                <w:rFonts w:ascii="Arial" w:cs="Arial" w:eastAsia="Arial" w:hAnsi="Arial"/>
                <w:sz w:val="19"/>
                <w:szCs w:val="19"/>
              </w:rPr>
              <w:t xml:space="preserve">• 27.40.31 — Лампы-вспышки фотографические, фотоосветители типа "кубик" и аналогичные изделия</w:t>
            </w:r>
          </w:p>
          <w:p>
            <w:pPr>
              <w:spacing w:after="60"/>
            </w:pPr>
            <w:r>
              <w:rPr>
                <w:rFonts w:ascii="Arial" w:cs="Arial" w:eastAsia="Arial" w:hAnsi="Arial"/>
                <w:color w:val="5B6472"/>
                <w:sz w:val="17"/>
                <w:szCs w:val="17"/>
              </w:rPr>
              <w:t xml:space="preserve">Ключи не исчерпывающие: ОКПД2 выбирают по виду деятельности и продукции.</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https://imexp.ru/katalog/kod/9006690009</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pdurcsyei0oain0idvqyx" Type="http://schemas.openxmlformats.org/officeDocument/2006/relationships/hyperlink" Target="https://docs.eaeunion.org/documents/386/6099/" TargetMode="External"/><Relationship Id="rIddtt14rdbl5hvvjt4m4jgo" Type="http://schemas.openxmlformats.org/officeDocument/2006/relationships/hyperlink" Target="https://docs.eaeunion.org/documents/386/6099/" TargetMode="External"/><Relationship Id="rIdztkhdgcphuqsawjutpr7l" Type="http://schemas.openxmlformats.org/officeDocument/2006/relationships/hyperlink" Target="https://docs.eaeunion.org/documents/335/4666/" TargetMode="External"/><Relationship Id="rIdcdrznmlewgku7z4mnhihl" Type="http://schemas.openxmlformats.org/officeDocument/2006/relationships/hyperlink" Target="http://publication.pravo.gov.ru/document/0001201805040007" TargetMode="External"/><Relationship Id="rIdbyslkgmdyoyrnbvmxu-di" Type="http://schemas.openxmlformats.org/officeDocument/2006/relationships/hyperlink" Target="http://publication.pravo.gov.ru/document/0001202308040119" TargetMode="External"/><Relationship Id="rId1tavl15dpfdlifufkmjxs" Type="http://schemas.openxmlformats.org/officeDocument/2006/relationships/hyperlink" Target="https://eur-lex.europa.eu/eli/reg/2014/833/oj/eng" TargetMode="External"/><Relationship Id="rIdw9uewh1yqsqdjo_xgxb7r" Type="http://schemas.openxmlformats.org/officeDocument/2006/relationships/hyperlink" Target="https://www.legislation.gov.uk/uksi/2019/855/contents" TargetMode="External"/><Relationship Id="rId053bvu_4njm1_zsdm3jwk" Type="http://schemas.openxmlformats.org/officeDocument/2006/relationships/hyperlink" Target="https://www.ecfr.gov/current/title-15/subtitle-B/chapter-VII/subchapter-C/part-746" TargetMode="External"/><Relationship Id="rIdqwtd_zighc_rdyffxtzq-" Type="http://schemas.openxmlformats.org/officeDocument/2006/relationships/hyperlink" Target="http://publication.pravo.gov.ru/document/0001202308040119" TargetMode="External"/><Relationship Id="rIda47hgrajcihdovntwaevf" Type="http://schemas.openxmlformats.org/officeDocument/2006/relationships/hyperlink" Target="https://docs.eaeunion.org/documents/386/6099/" TargetMode="External"/><Relationship Id="rIdugu-vqx9ogun8p4vs1brw" Type="http://schemas.openxmlformats.org/officeDocument/2006/relationships/hyperlink" Target="http://publication.pravo.gov.ru/document/0001202411290098" TargetMode="External"/><Relationship Id="rId1oobfjknng5kvnh61gorq" Type="http://schemas.openxmlformats.org/officeDocument/2006/relationships/hyperlink" Target="http://publication.pravo.gov.ru/document/0001201805040007" TargetMode="External"/><Relationship Id="rIdniblvrwr2yuknmgoi5tqj" Type="http://schemas.openxmlformats.org/officeDocument/2006/relationships/hyperlink" Target="https://eec.eaeunion.org/comission/department/deptexreg/tr/EMS.php" TargetMode="External"/><Relationship Id="rIdyqt2rylmjezqvvojkrny3" Type="http://schemas.openxmlformats.org/officeDocument/2006/relationships/hyperlink" Target="https://eec.eaeunion.org/comission/department/deptexreg/tr/Down_Volt.php" TargetMode="External"/><Relationship Id="rIdv7edl0pnycebqivbdgwsh" Type="http://schemas.openxmlformats.org/officeDocument/2006/relationships/hyperlink" Target="https://eec.eaeunion.org/comission/department/deptexreg/tr/TR_EEU_037.php" TargetMode="External"/><Relationship Id="rIdju09xcobkfcnml5nby_6b" Type="http://schemas.openxmlformats.org/officeDocument/2006/relationships/hyperlink" Target="https://docs.eaeunion.org/documents/335/4666/" TargetMode="External"/><Relationship Id="rIdsyvb-qhm4el6y0eopnbfo" Type="http://schemas.openxmlformats.org/officeDocument/2006/relationships/hyperlink" Target="http://publication.pravo.gov.ru/document/0001202207190026" TargetMode="External"/><Relationship Id="rIdskvbqu4cemcfjw_fzvr3n" Type="http://schemas.openxmlformats.org/officeDocument/2006/relationships/hyperlink" Target="https://docs.eaeunion.org/documents/253/3575/" TargetMode="External"/><Relationship Id="rIdplfeehidmdmvjwskbsxbf" Type="http://schemas.openxmlformats.org/officeDocument/2006/relationships/hyperlink" Target="https://docs.eaeunion.org/documents/214/946/" TargetMode="External"/><Relationship Id="rId4ieshlg9ljo-u4m9bqqgh" Type="http://schemas.openxmlformats.org/officeDocument/2006/relationships/hyperlink" Target="https://docs.eaeunion.org/documents/208/8939/" TargetMode="External"/><Relationship Id="rIduky5t38gu_bbr7g6xhmjg" Type="http://schemas.openxmlformats.org/officeDocument/2006/relationships/hyperlink" Target="https://docs.eaeunion.org/documents/463/10896/" TargetMode="External"/><Relationship Id="rId7efoyceacbcavmb8ptihw" Type="http://schemas.openxmlformats.org/officeDocument/2006/relationships/hyperlink" Target="https://docs.eaeunion.org/documents/326/3767/" TargetMode="External"/><Relationship Id="rIdeevtv1wjmyfiubddvsdkl" Type="http://schemas.openxmlformats.org/officeDocument/2006/relationships/hyperlink" Target="https://docs.eaeunion.org/documents/253/3630/" TargetMode="External"/><Relationship Id="rIdnjnauydlyn8_k9au4cxzt" Type="http://schemas.openxmlformats.org/officeDocument/2006/relationships/hyperlink" Target="https://docs.eaeunion.org/documents/447/9823/" TargetMode="External"/><Relationship Id="rId9chpyg03_nzlaloyqowr_" Type="http://schemas.openxmlformats.org/officeDocument/2006/relationships/hyperlink" Target="https://docs.eaeunion.org/documents/386/6272/" TargetMode="External"/><Relationship Id="rIdlfwywmheo3dyt3mr5pt0p" Type="http://schemas.openxmlformats.org/officeDocument/2006/relationships/hyperlink" Target="https://docs.eaeunion.org/documents/338/5148/" TargetMode="External"/><Relationship Id="rId3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9006 69 000 9</dc:title>
  <dc:creator>IMEXP</dc:creator>
  <cp:lastModifiedBy>Un-named</cp:lastModifiedBy>
  <cp:revision>1</cp:revision>
  <dcterms:created xsi:type="dcterms:W3CDTF">2026-10-29T02:50:26.649Z</dcterms:created>
  <dcterms:modified xsi:type="dcterms:W3CDTF">2026-10-29T02:50:26.649Z</dcterms:modified>
</cp:coreProperties>
</file>

<file path=docProps/custom.xml><?xml version="1.0" encoding="utf-8"?>
<Properties xmlns="http://schemas.openxmlformats.org/officeDocument/2006/custom-properties" xmlns:vt="http://schemas.openxmlformats.org/officeDocument/2006/docPropsVTypes"/>
</file>