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80"/>
      </w:pPr>
      <w:r>
        <w:rPr>
          <w:rFonts w:ascii="Arial" w:cs="Arial" w:eastAsia="Arial" w:hAnsi="Arial"/>
          <w:b/>
          <w:bCs/>
          <w:sz w:val="30"/>
          <w:szCs w:val="30"/>
        </w:rPr>
        <w:t xml:space="preserve">Справка о товаре: ввоз в Россию</w:t>
      </w:r>
    </w:p>
    <w:p>
      <w:pPr>
        <w:spacing w:after="80"/>
      </w:pPr>
      <w:r>
        <w:rPr>
          <w:rFonts w:ascii="Arial" w:cs="Arial" w:eastAsia="Arial" w:hAnsi="Arial"/>
          <w:b/>
          <w:bCs/>
          <w:sz w:val="24"/>
          <w:szCs w:val="24"/>
        </w:rPr>
        <w:t xml:space="preserve">Код ТН ВЭД ЕАЭС 9006 91 000 0</w:t>
      </w:r>
    </w:p>
    <w:p>
      <w:pPr>
        <w:spacing w:after="200"/>
      </w:pPr>
      <w:r>
        <w:rPr>
          <w:rFonts w:ascii="Arial" w:cs="Arial" w:eastAsia="Arial" w:hAnsi="Arial"/>
          <w:color w:val="5B6472"/>
          <w:sz w:val="19"/>
          <w:szCs w:val="19"/>
        </w:rPr>
        <w:t xml:space="preserve">Сведения на 27.10.2026</w:t>
      </w:r>
    </w:p>
    <w:tbl>
      <w:tblPr>
        <w:tblW w:type="dxa" w:w="10204"/>
        <w:tblBorders>
          <w:top w:val="single" w:color="C9CFD8" w:sz="4"/>
          <w:left w:val="single" w:color="C9CFD8" w:sz="4"/>
          <w:bottom w:val="single" w:color="C9CFD8" w:sz="4"/>
          <w:right w:val="single" w:color="C9CFD8" w:sz="4"/>
          <w:insideH w:val="single" w:color="C9CFD8" w:sz="4"/>
          <w:insideV w:val="single" w:color="C9CFD8" w:sz="4"/>
        </w:tblBorders>
      </w:tblPr>
      <w:tblGrid>
        <w:gridCol w:w="2600"/>
        <w:gridCol w:w="7604"/>
      </w:tblGrid>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Наименование</w:t>
            </w:r>
          </w:p>
        </w:tc>
        <w:tc>
          <w:tcPr>
            <w:tcW w:type="dxa" w:w="7604"/>
            <w:tcMar>
              <w:top w:type="dxa" w:w="80"/>
              <w:left w:type="dxa" w:w="120"/>
              <w:bottom w:type="dxa" w:w="80"/>
              <w:right w:type="dxa" w:w="120"/>
            </w:tcMar>
          </w:tcPr>
          <w:p>
            <w:pPr>
              <w:spacing w:after="60"/>
            </w:pPr>
            <w:r>
              <w:rPr>
                <w:rFonts w:ascii="Arial" w:cs="Arial" w:eastAsia="Arial" w:hAnsi="Arial"/>
                <w:color w:val="5B6472"/>
                <w:sz w:val="17"/>
                <w:szCs w:val="17"/>
              </w:rPr>
              <w:t xml:space="preserve">Раздел XVIII. Инструменты и аппараты оптические, фотографические, кинематографические, измерительные, контрольные, прецизионные, медицинские или хирургические; часы всех видов; музыкальные инструменты; их части и принадлежности</w:t>
            </w:r>
          </w:p>
          <w:p>
            <w:pPr>
              <w:spacing w:after="60"/>
            </w:pPr>
            <w:r>
              <w:rPr>
                <w:rFonts w:ascii="Arial" w:cs="Arial" w:eastAsia="Arial" w:hAnsi="Arial"/>
                <w:color w:val="5B6472"/>
                <w:sz w:val="17"/>
                <w:szCs w:val="17"/>
              </w:rPr>
              <w:t xml:space="preserve">90 — ИНСТРУМЕНТЫ И АППАРАТЫ ОПТИЧЕСКИЕ, ФОТОГРАФИЧЕСКИЕ, КИНЕМАТОГРАФИЧЕСКИЕ, ИЗМЕРИТЕЛЬНЫЕ, КОНТРОЛЬНЫЕ, ПРЕЦИЗИОННЫЕ, МЕДИЦИНСКИЕ ИЛИ ХИРУРГИЧЕСКИЕ; ИХ ЧАСТИ И ПРИНАДЛЕЖНОСТИ</w:t>
            </w:r>
          </w:p>
          <w:p>
            <w:pPr>
              <w:spacing w:after="60"/>
            </w:pPr>
            <w:r>
              <w:rPr>
                <w:rFonts w:ascii="Arial" w:cs="Arial" w:eastAsia="Arial" w:hAnsi="Arial"/>
                <w:color w:val="5B6472"/>
                <w:sz w:val="17"/>
                <w:szCs w:val="17"/>
              </w:rPr>
              <w:t xml:space="preserve">9006 — Фотокамеры (кроме кинокамер); фотовспышки и лампы-вспышки, кроме газоразрядных ламп товарной позиции 8539</w:t>
            </w:r>
          </w:p>
          <w:p>
            <w:pPr>
              <w:spacing w:after="60"/>
            </w:pPr>
            <w:r>
              <w:rPr>
                <w:rFonts w:ascii="Arial" w:cs="Arial" w:eastAsia="Arial" w:hAnsi="Arial"/>
                <w:color w:val="5B6472"/>
                <w:sz w:val="17"/>
                <w:szCs w:val="17"/>
              </w:rPr>
              <w:t xml:space="preserve">9006 91 — Части и принадлежности: для фотокамер</w:t>
            </w:r>
          </w:p>
          <w:p>
            <w:pPr>
              <w:spacing w:after="60"/>
            </w:pPr>
            <w:r>
              <w:rPr>
                <w:rFonts w:ascii="Arial" w:cs="Arial" w:eastAsia="Arial" w:hAnsi="Arial"/>
                <w:color w:val="5B6472"/>
                <w:sz w:val="17"/>
                <w:szCs w:val="17"/>
              </w:rPr>
              <w:t xml:space="preserve">9006 91 00 — Части и принадлежности: для фотокамер</w:t>
            </w:r>
          </w:p>
          <w:p>
            <w:pPr>
              <w:spacing w:after="60"/>
            </w:pPr>
            <w:r>
              <w:rPr>
                <w:rFonts w:ascii="Arial" w:cs="Arial" w:eastAsia="Arial" w:hAnsi="Arial"/>
                <w:b/>
                <w:bCs/>
                <w:sz w:val="19"/>
                <w:szCs w:val="19"/>
              </w:rPr>
              <w:t xml:space="preserve">9006 91 000 0 — Части и принадлежности: для фотокамер</w:t>
            </w:r>
          </w:p>
          <w:p>
            <w:pPr>
              <w:spacing w:after="60"/>
            </w:pPr>
            <w:r>
              <w:rPr>
                <w:rFonts w:ascii="Arial" w:cs="Arial" w:eastAsia="Arial" w:hAnsi="Arial"/>
                <w:color w:val="5B6472"/>
                <w:sz w:val="17"/>
                <w:szCs w:val="17"/>
              </w:rPr>
              <w:t xml:space="preserve">Основание: Единая товарная номенклатура ВЭД ЕАЭС, </w:t>
            </w:r>
            <w:hyperlink w:history="1" r:id="rIdluxsdyei3mbtg2dhran6a">
              <w:r>
                <w:rPr>
                  <w:rFonts w:ascii="Arial" w:cs="Arial" w:eastAsia="Arial" w:hAnsi="Arial"/>
                  <w:color w:val="1F5FBF"/>
                  <w:sz w:val="17"/>
                  <w:szCs w:val="17"/>
                  <w:u w:val="single"/>
                </w:rPr>
                <w:t xml:space="preserve">Решение Совета ЕЭК от 14.09.2021 № 80</w:t>
              </w:r>
            </w:hyperlink>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Дополнительная единица измерения</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Не применяется</w:t>
            </w:r>
          </w:p>
          <w:p>
            <w:pPr>
              <w:spacing w:after="60"/>
            </w:pPr>
            <w:r>
              <w:rPr>
                <w:rFonts w:ascii="Arial" w:cs="Arial" w:eastAsia="Arial" w:hAnsi="Arial"/>
                <w:color w:val="5B6472"/>
                <w:sz w:val="17"/>
                <w:szCs w:val="17"/>
              </w:rPr>
              <w:t xml:space="preserve">Основание: Единая товарная номенклатура ВЭД ЕАЭС, </w:t>
            </w:r>
            <w:hyperlink w:history="1" r:id="rIdypwacw2a6cj0_mnlr5cfm">
              <w:r>
                <w:rPr>
                  <w:rFonts w:ascii="Arial" w:cs="Arial" w:eastAsia="Arial" w:hAnsi="Arial"/>
                  <w:color w:val="1F5FBF"/>
                  <w:sz w:val="17"/>
                  <w:szCs w:val="17"/>
                  <w:u w:val="single"/>
                </w:rPr>
                <w:t xml:space="preserve">Решение Совета ЕЭК от 14.09.2021 № 80</w:t>
              </w:r>
            </w:hyperlink>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Какие документы нужны при ввозе</w:t>
            </w:r>
          </w:p>
        </w:tc>
        <w:tc>
          <w:tcPr>
            <w:tcW w:type="dxa" w:w="7604"/>
            <w:tcMar>
              <w:top w:type="dxa" w:w="80"/>
              <w:left w:type="dxa" w:w="120"/>
              <w:bottom w:type="dxa" w:w="80"/>
              <w:right w:type="dxa" w:w="120"/>
            </w:tcMar>
          </w:tcPr>
          <w:p>
            <w:pPr>
              <w:spacing w:after="60"/>
              <w:ind w:left="220" w:hanging="160"/>
            </w:pPr>
            <w:r>
              <w:rPr>
                <w:rFonts w:ascii="Arial" w:cs="Arial" w:eastAsia="Arial" w:hAnsi="Arial"/>
                <w:sz w:val="19"/>
                <w:szCs w:val="19"/>
              </w:rPr>
              <w:t xml:space="preserve">• Санитарно-эпидемиологический надзор — </w:t>
            </w:r>
            <w:hyperlink w:history="1" r:id="rIdbwjyf69rufzbyg4xlodpt">
              <w:r>
                <w:rPr>
                  <w:rFonts w:ascii="Arial" w:cs="Arial" w:eastAsia="Arial" w:hAnsi="Arial"/>
                  <w:color w:val="1F5FBF"/>
                  <w:sz w:val="19"/>
                  <w:szCs w:val="19"/>
                  <w:u w:val="single"/>
                </w:rPr>
                <w:t xml:space="preserve">Решение Коллегии Евразийской экономической комиссии от 17.09.2019 № 154</w:t>
              </w:r>
            </w:hyperlink>
            <w:r>
              <w:rPr>
                <w:rFonts w:ascii="Arial" w:cs="Arial" w:eastAsia="Arial" w:hAnsi="Arial"/>
                <w:sz w:val="19"/>
                <w:szCs w:val="19"/>
              </w:rPr>
              <w:t xml:space="preserve"> (касается части товаров кода)</w:t>
            </w:r>
          </w:p>
          <w:p>
            <w:pPr>
              <w:spacing w:after="60"/>
              <w:ind w:left="220" w:hanging="160"/>
            </w:pPr>
            <w:r>
              <w:rPr>
                <w:rFonts w:ascii="Arial" w:cs="Arial" w:eastAsia="Arial" w:hAnsi="Arial"/>
                <w:sz w:val="19"/>
                <w:szCs w:val="19"/>
              </w:rPr>
              <w:t xml:space="preserve">• Ввоз без согласия правообладателя (параллельный импорт) — </w:t>
            </w:r>
            <w:hyperlink w:history="1" r:id="rIdes3eh_ddl5q-sj03tlraz">
              <w:r>
                <w:rPr>
                  <w:rFonts w:ascii="Arial" w:cs="Arial" w:eastAsia="Arial" w:hAnsi="Arial"/>
                  <w:color w:val="1F5FBF"/>
                  <w:sz w:val="19"/>
                  <w:szCs w:val="19"/>
                  <w:u w:val="single"/>
                </w:rPr>
                <w:t xml:space="preserve">Приказ Минпромторга России № 2701</w:t>
              </w:r>
            </w:hyperlink>
            <w:r>
              <w:rPr>
                <w:rFonts w:ascii="Arial" w:cs="Arial" w:eastAsia="Arial" w:hAnsi="Arial"/>
                <w:sz w:val="19"/>
                <w:szCs w:val="19"/>
              </w:rPr>
              <w:t xml:space="preserve">, пункты 412 и 416 (только для товарных знаков из перечня)</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Запреты других стран</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Страна продавца запрещает вывоз такого товара в Россию: касается товара, который покупают в этой стране или у её компаний.</w:t>
            </w:r>
          </w:p>
          <w:p>
            <w:pPr>
              <w:spacing w:after="60"/>
              <w:ind w:left="220" w:hanging="160"/>
            </w:pPr>
            <w:r>
              <w:rPr>
                <w:rFonts w:ascii="Arial" w:cs="Arial" w:eastAsia="Arial" w:hAnsi="Arial"/>
                <w:sz w:val="19"/>
                <w:szCs w:val="19"/>
              </w:rPr>
              <w:t xml:space="preserve">• ЕС: </w:t>
            </w:r>
            <w:hyperlink w:history="1" r:id="rIdzjbfnmshvu5tatyzg_yuq">
              <w:r>
                <w:rPr>
                  <w:rFonts w:ascii="Arial" w:cs="Arial" w:eastAsia="Arial" w:hAnsi="Arial"/>
                  <w:color w:val="1F5FBF"/>
                  <w:sz w:val="19"/>
                  <w:szCs w:val="19"/>
                  <w:u w:val="single"/>
                </w:rPr>
                <w:t xml:space="preserve">Регламент Совета ЕС № 833/2014</w:t>
              </w:r>
            </w:hyperlink>
            <w:r>
              <w:rPr>
                <w:rFonts w:ascii="Arial" w:cs="Arial" w:eastAsia="Arial" w:hAnsi="Arial"/>
                <w:sz w:val="19"/>
                <w:szCs w:val="19"/>
              </w:rPr>
              <w:t xml:space="preserve">, приложение XVIII (предметы роскоши) (дороже порога цены из приложения)</w:t>
            </w:r>
          </w:p>
          <w:p>
            <w:pPr>
              <w:spacing w:after="60"/>
              <w:ind w:left="220" w:hanging="160"/>
            </w:pPr>
            <w:r>
              <w:rPr>
                <w:rFonts w:ascii="Arial" w:cs="Arial" w:eastAsia="Arial" w:hAnsi="Arial"/>
                <w:sz w:val="19"/>
                <w:szCs w:val="19"/>
              </w:rPr>
              <w:t xml:space="preserve">• Великобритания: </w:t>
            </w:r>
            <w:hyperlink w:history="1" r:id="rIdtmhgvu1p53wdj0ejjoajl">
              <w:r>
                <w:rPr>
                  <w:rFonts w:ascii="Arial" w:cs="Arial" w:eastAsia="Arial" w:hAnsi="Arial"/>
                  <w:color w:val="1F5FBF"/>
                  <w:sz w:val="19"/>
                  <w:szCs w:val="19"/>
                  <w:u w:val="single"/>
                </w:rPr>
                <w:t xml:space="preserve">Регламент Великобритании о санкциях против России 2019 года</w:t>
              </w:r>
            </w:hyperlink>
            <w:r>
              <w:rPr>
                <w:rFonts w:ascii="Arial" w:cs="Arial" w:eastAsia="Arial" w:hAnsi="Arial"/>
                <w:sz w:val="19"/>
                <w:szCs w:val="19"/>
              </w:rPr>
              <w:t xml:space="preserve">, приложение 3A (предметы роскоши) (дороже порога цены из приложения); Регламент Великобритании о санкциях против России 2019 года, приложение 3E (товары зависимости G7)</w:t>
            </w:r>
          </w:p>
          <w:p>
            <w:pPr>
              <w:spacing w:after="60"/>
              <w:ind w:left="220" w:hanging="160"/>
            </w:pPr>
            <w:r>
              <w:rPr>
                <w:rFonts w:ascii="Arial" w:cs="Arial" w:eastAsia="Arial" w:hAnsi="Arial"/>
                <w:sz w:val="19"/>
                <w:szCs w:val="19"/>
              </w:rPr>
              <w:t xml:space="preserve">• США: </w:t>
            </w:r>
            <w:hyperlink w:history="1" r:id="rIdcd9zhdjerqetq5e9usbjn">
              <w:r>
                <w:rPr>
                  <w:rFonts w:ascii="Arial" w:cs="Arial" w:eastAsia="Arial" w:hAnsi="Arial"/>
                  <w:color w:val="1F5FBF"/>
                  <w:sz w:val="19"/>
                  <w:szCs w:val="19"/>
                  <w:u w:val="single"/>
                </w:rPr>
                <w:t xml:space="preserve">Правила экспортного контроля США (EAR), часть 746</w:t>
              </w:r>
            </w:hyperlink>
            <w:r>
              <w:rPr>
                <w:rFonts w:ascii="Arial" w:cs="Arial" w:eastAsia="Arial" w:hAnsi="Arial"/>
                <w:sz w:val="19"/>
                <w:szCs w:val="19"/>
              </w:rPr>
              <w:t xml:space="preserve">, дополнение № 4 (промышленные товары)</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Параллельный импорт</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Код подпадает под перечень </w:t>
            </w:r>
            <w:hyperlink w:history="1" r:id="rIdtrckcoa0b8ul-b9_-nqsr">
              <w:r>
                <w:rPr>
                  <w:rFonts w:ascii="Arial" w:cs="Arial" w:eastAsia="Arial" w:hAnsi="Arial"/>
                  <w:color w:val="1F5FBF"/>
                  <w:sz w:val="19"/>
                  <w:szCs w:val="19"/>
                  <w:u w:val="single"/>
                </w:rPr>
                <w:t xml:space="preserve">приказа Минпромторга России от 21.07.2023 № 2701</w:t>
              </w:r>
            </w:hyperlink>
            <w:r>
              <w:rPr>
                <w:rFonts w:ascii="Arial" w:cs="Arial" w:eastAsia="Arial" w:hAnsi="Arial"/>
                <w:sz w:val="19"/>
                <w:szCs w:val="19"/>
              </w:rPr>
              <w:t xml:space="preserve">: товар, введённый в оборот за рубежом правообладателем или с его согласия, можно ввозить без согласия правообладателя, но только под товарными знаками пункта.</w:t>
            </w:r>
          </w:p>
          <w:p>
            <w:pPr>
              <w:spacing w:after="60"/>
              <w:ind w:left="220" w:hanging="160"/>
            </w:pPr>
            <w:r>
              <w:rPr>
                <w:rFonts w:ascii="Arial" w:cs="Arial" w:eastAsia="Arial" w:hAnsi="Arial"/>
                <w:sz w:val="19"/>
                <w:szCs w:val="19"/>
              </w:rPr>
              <w:t xml:space="preserve">• Пункт 412 (90): ACURA, ALFA ROMEO, AUDI, BALLUFF, BENTLEY, BMW, CADILLAC, CHEVROLET, CHRYSLER, DAEWOO, DAIHATSU, DATSUN, DODGE, FERRARI, FIAT, GENERAL MOTORS (GM), GMC, HEIDENHAIN, HONDA, HUMMER, HYUNDAI, INFINITI, JAGUAR, JEEP, LAND ROVER, LEXUS, LINCOLN, KIA, MASERATI,…</w:t>
            </w:r>
          </w:p>
          <w:p>
            <w:pPr>
              <w:spacing w:after="60"/>
              <w:ind w:left="220" w:hanging="160"/>
            </w:pPr>
            <w:r>
              <w:rPr>
                <w:rFonts w:ascii="Arial" w:cs="Arial" w:eastAsia="Arial" w:hAnsi="Arial"/>
                <w:sz w:val="19"/>
                <w:szCs w:val="19"/>
              </w:rPr>
              <w:t xml:space="preserve">• Пункт 416 (9006): CANON, FUJIFILM, GOPRO, KODAK, NIKON, OLYMPUS, PANASONIC, POLAROID, SONY</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Ввозная пошлина</w:t>
            </w:r>
          </w:p>
        </w:tc>
        <w:tc>
          <w:tcPr>
            <w:tcW w:type="dxa" w:w="7604"/>
            <w:tcMar>
              <w:top w:type="dxa" w:w="80"/>
              <w:left w:type="dxa" w:w="120"/>
              <w:bottom w:type="dxa" w:w="80"/>
              <w:right w:type="dxa" w:w="120"/>
            </w:tcMar>
          </w:tcPr>
          <w:p>
            <w:pPr>
              <w:spacing w:after="60"/>
            </w:pPr>
            <w:r>
              <w:rPr>
                <w:rFonts w:ascii="Arial" w:cs="Arial" w:eastAsia="Arial" w:hAnsi="Arial"/>
                <w:b/>
                <w:bCs/>
                <w:sz w:val="19"/>
                <w:szCs w:val="19"/>
              </w:rPr>
              <w:t xml:space="preserve">5% — ставка Единого таможенного тарифа ЕАЭС</w:t>
            </w:r>
          </w:p>
          <w:p>
            <w:pPr>
              <w:spacing w:after="60"/>
            </w:pPr>
            <w:r>
              <w:rPr>
                <w:rFonts w:ascii="Arial" w:cs="Arial" w:eastAsia="Arial" w:hAnsi="Arial"/>
                <w:color w:val="5B6472"/>
                <w:sz w:val="17"/>
                <w:szCs w:val="17"/>
              </w:rPr>
              <w:t xml:space="preserve">ЕТТ ЕАЭС в редакции </w:t>
            </w:r>
            <w:hyperlink w:history="1" r:id="rIdwnl7vudu3lsdyzm4jqm94">
              <w:r>
                <w:rPr>
                  <w:rFonts w:ascii="Arial" w:cs="Arial" w:eastAsia="Arial" w:hAnsi="Arial"/>
                  <w:color w:val="1F5FBF"/>
                  <w:sz w:val="17"/>
                  <w:szCs w:val="17"/>
                  <w:u w:val="single"/>
                </w:rPr>
                <w:t xml:space="preserve">Решение Совета ЕЭК № 80 от 14.09.2021</w:t>
              </w:r>
            </w:hyperlink>
            <w:r>
              <w:rPr>
                <w:rFonts w:ascii="Arial" w:cs="Arial" w:eastAsia="Arial" w:hAnsi="Arial"/>
                <w:color w:val="5B6472"/>
                <w:sz w:val="17"/>
                <w:szCs w:val="17"/>
              </w:rPr>
              <w:t xml:space="preserve">, с 01.01.2022; более поздних решений о ставке по этому коду в нашем реестре нет</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Особые виды пошлин</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Антидемпинговые, компенсационные и специальные пошлины по коду не применяются.</w:t>
            </w:r>
          </w:p>
          <w:p>
            <w:pPr>
              <w:spacing w:after="60"/>
            </w:pPr>
            <w:r>
              <w:rPr>
                <w:rFonts w:ascii="Arial" w:cs="Arial" w:eastAsia="Arial" w:hAnsi="Arial"/>
                <w:color w:val="5B6472"/>
                <w:sz w:val="17"/>
                <w:szCs w:val="17"/>
              </w:rPr>
              <w:t xml:space="preserve">Основание: Договор о Евразийском экономическом союзе от 29.05.2014, приложение № 8</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Акциз</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Подакцизных видов товаров по коду нет (статья 181 НК РФ).</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НДС при ввозе</w:t>
            </w:r>
          </w:p>
        </w:tc>
        <w:tc>
          <w:tcPr>
            <w:tcW w:type="dxa" w:w="7604"/>
            <w:tcMar>
              <w:top w:type="dxa" w:w="80"/>
              <w:left w:type="dxa" w:w="120"/>
              <w:bottom w:type="dxa" w:w="80"/>
              <w:right w:type="dxa" w:w="120"/>
            </w:tcMar>
          </w:tcPr>
          <w:p>
            <w:pPr>
              <w:spacing w:after="60"/>
            </w:pPr>
            <w:r>
              <w:rPr>
                <w:rFonts w:ascii="Arial" w:cs="Arial" w:eastAsia="Arial" w:hAnsi="Arial"/>
                <w:b/>
                <w:bCs/>
                <w:sz w:val="19"/>
                <w:szCs w:val="19"/>
              </w:rPr>
              <w:t xml:space="preserve">22% — основная ставка (статья 164 НК РФ).</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Таможенный сбор</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Зависит от таможенной стоимости товаров в декларации (2026):</w:t>
            </w:r>
          </w:p>
          <w:p>
            <w:pPr>
              <w:spacing w:after="60"/>
              <w:ind w:left="220" w:hanging="160"/>
            </w:pPr>
            <w:r>
              <w:rPr>
                <w:rFonts w:ascii="Arial" w:cs="Arial" w:eastAsia="Arial" w:hAnsi="Arial"/>
                <w:sz w:val="19"/>
                <w:szCs w:val="19"/>
              </w:rPr>
              <w:t xml:space="preserve">• от 0 до 200 000 ₽ — 1 231 ₽</w:t>
            </w:r>
          </w:p>
          <w:p>
            <w:pPr>
              <w:spacing w:after="60"/>
              <w:ind w:left="220" w:hanging="160"/>
            </w:pPr>
            <w:r>
              <w:rPr>
                <w:rFonts w:ascii="Arial" w:cs="Arial" w:eastAsia="Arial" w:hAnsi="Arial"/>
                <w:sz w:val="19"/>
                <w:szCs w:val="19"/>
              </w:rPr>
              <w:t xml:space="preserve">• от 200 000 до 450 000 ₽ — 2 462 ₽</w:t>
            </w:r>
          </w:p>
          <w:p>
            <w:pPr>
              <w:spacing w:after="60"/>
              <w:ind w:left="220" w:hanging="160"/>
            </w:pPr>
            <w:r>
              <w:rPr>
                <w:rFonts w:ascii="Arial" w:cs="Arial" w:eastAsia="Arial" w:hAnsi="Arial"/>
                <w:sz w:val="19"/>
                <w:szCs w:val="19"/>
              </w:rPr>
              <w:t xml:space="preserve">• от 450 000 до 1 200 000 ₽ — 4 924 ₽</w:t>
            </w:r>
          </w:p>
          <w:p>
            <w:pPr>
              <w:spacing w:after="60"/>
              <w:ind w:left="220" w:hanging="160"/>
            </w:pPr>
            <w:r>
              <w:rPr>
                <w:rFonts w:ascii="Arial" w:cs="Arial" w:eastAsia="Arial" w:hAnsi="Arial"/>
                <w:sz w:val="19"/>
                <w:szCs w:val="19"/>
              </w:rPr>
              <w:t xml:space="preserve">• от 1 200 000 до 2 700 000 ₽ — 13 541 ₽</w:t>
            </w:r>
          </w:p>
          <w:p>
            <w:pPr>
              <w:spacing w:after="60"/>
              <w:ind w:left="220" w:hanging="160"/>
            </w:pPr>
            <w:r>
              <w:rPr>
                <w:rFonts w:ascii="Arial" w:cs="Arial" w:eastAsia="Arial" w:hAnsi="Arial"/>
                <w:sz w:val="19"/>
                <w:szCs w:val="19"/>
              </w:rPr>
              <w:t xml:space="preserve">• от 2 700 000 до 4 200 000 ₽ — 18 465 ₽</w:t>
            </w:r>
          </w:p>
          <w:p>
            <w:pPr>
              <w:spacing w:after="60"/>
              <w:ind w:left="220" w:hanging="160"/>
            </w:pPr>
            <w:r>
              <w:rPr>
                <w:rFonts w:ascii="Arial" w:cs="Arial" w:eastAsia="Arial" w:hAnsi="Arial"/>
                <w:sz w:val="19"/>
                <w:szCs w:val="19"/>
              </w:rPr>
              <w:t xml:space="preserve">• от 4 200 000 до 5 500 000 ₽ — 21 344 ₽</w:t>
            </w:r>
          </w:p>
          <w:p>
            <w:pPr>
              <w:spacing w:after="60"/>
              <w:ind w:left="220" w:hanging="160"/>
            </w:pPr>
            <w:r>
              <w:rPr>
                <w:rFonts w:ascii="Arial" w:cs="Arial" w:eastAsia="Arial" w:hAnsi="Arial"/>
                <w:sz w:val="19"/>
                <w:szCs w:val="19"/>
              </w:rPr>
              <w:t xml:space="preserve">• от 5 500 000 до 10 000 000 ₽ — 49 240 ₽</w:t>
            </w:r>
          </w:p>
          <w:p>
            <w:pPr>
              <w:spacing w:after="60"/>
              <w:ind w:left="220" w:hanging="160"/>
            </w:pPr>
            <w:r>
              <w:rPr>
                <w:rFonts w:ascii="Arial" w:cs="Arial" w:eastAsia="Arial" w:hAnsi="Arial"/>
                <w:sz w:val="19"/>
                <w:szCs w:val="19"/>
              </w:rPr>
              <w:t xml:space="preserve">• свыше 10 000 000 ₽ — 73 860 ₽</w:t>
            </w:r>
          </w:p>
          <w:p>
            <w:pPr>
              <w:spacing w:after="60"/>
            </w:pPr>
            <w:hyperlink w:history="1" r:id="rIddjerrazdc396id8elcsfn">
              <w:r>
                <w:rPr>
                  <w:rFonts w:ascii="Arial" w:cs="Arial" w:eastAsia="Arial" w:hAnsi="Arial"/>
                  <w:color w:val="1F5FBF"/>
                  <w:sz w:val="17"/>
                  <w:szCs w:val="17"/>
                  <w:u w:val="single"/>
                </w:rPr>
                <w:t xml:space="preserve">Постановление Правительства РФ от 28.11.2024 № 1637</w:t>
              </w:r>
            </w:hyperlink>
            <w:r>
              <w:rPr>
                <w:rFonts w:ascii="Arial" w:cs="Arial" w:eastAsia="Arial" w:hAnsi="Arial"/>
                <w:color w:val="5B6472"/>
                <w:sz w:val="17"/>
                <w:szCs w:val="17"/>
              </w:rPr>
              <w:t xml:space="preserve"> в редакции от 23.10.2025 № 1638.</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Запреты и ограничения</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Запретов и разрешительного порядка на ввоз по коду в перечнях России и ЕАЭС нет.</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Обязательная маркировка</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Код не назван в перечне товаров с обязательной маркировкой (</w:t>
            </w:r>
            <w:hyperlink w:history="1" r:id="rIdzstm9u57uyqnchhu2mr9e">
              <w:r>
                <w:rPr>
                  <w:rFonts w:ascii="Arial" w:cs="Arial" w:eastAsia="Arial" w:hAnsi="Arial"/>
                  <w:color w:val="1F5FBF"/>
                  <w:sz w:val="19"/>
                  <w:szCs w:val="19"/>
                  <w:u w:val="single"/>
                </w:rPr>
                <w:t xml:space="preserve">распоряжение № 792-р</w:t>
              </w:r>
            </w:hyperlink>
            <w:r>
              <w:rPr>
                <w:rFonts w:ascii="Arial" w:cs="Arial" w:eastAsia="Arial" w:hAnsi="Arial"/>
                <w:sz w:val="19"/>
                <w:szCs w:val="19"/>
              </w:rPr>
              <w:t xml:space="preserve"> в редакции № 1765-р, № 249-р и № 956-р).</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Разрешительные документы</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Код не назван в перечнях техрегламентов ЕАЭС и в едином перечне России (постановление № 2425), которые мы сверяем.</w:t>
            </w:r>
          </w:p>
          <w:p>
            <w:pPr>
              <w:spacing w:after="60"/>
            </w:pPr>
            <w:r>
              <w:rPr>
                <w:rFonts w:ascii="Arial" w:cs="Arial" w:eastAsia="Arial" w:hAnsi="Arial"/>
                <w:color w:val="5B6472"/>
                <w:sz w:val="17"/>
                <w:szCs w:val="17"/>
              </w:rPr>
              <w:t xml:space="preserve">На практике по субпозиции 9006 91 действует сертификатов: 0, деклараций: 28; чаще по </w:t>
            </w:r>
            <w:hyperlink w:history="1" r:id="rId4i1dkpz8fnj-af7reen8w">
              <w:r>
                <w:rPr>
                  <w:rFonts w:ascii="Arial" w:cs="Arial" w:eastAsia="Arial" w:hAnsi="Arial"/>
                  <w:color w:val="1F5FBF"/>
                  <w:sz w:val="17"/>
                  <w:szCs w:val="17"/>
                  <w:u w:val="single"/>
                </w:rPr>
                <w:t xml:space="preserve">ТР ТС 020/2011</w:t>
              </w:r>
            </w:hyperlink>
            <w:r>
              <w:rPr>
                <w:rFonts w:ascii="Arial" w:cs="Arial" w:eastAsia="Arial" w:hAnsi="Arial"/>
                <w:color w:val="5B6472"/>
                <w:sz w:val="17"/>
                <w:szCs w:val="17"/>
              </w:rPr>
              <w:t xml:space="preserve">, </w:t>
            </w:r>
            <w:hyperlink w:history="1" r:id="rIdkfnuik8yv2oy372renc_t">
              <w:r>
                <w:rPr>
                  <w:rFonts w:ascii="Arial" w:cs="Arial" w:eastAsia="Arial" w:hAnsi="Arial"/>
                  <w:color w:val="1F5FBF"/>
                  <w:sz w:val="17"/>
                  <w:szCs w:val="17"/>
                  <w:u w:val="single"/>
                </w:rPr>
                <w:t xml:space="preserve">ТР ЕАЭС 037/2016</w:t>
              </w:r>
            </w:hyperlink>
            <w:r>
              <w:rPr>
                <w:rFonts w:ascii="Arial" w:cs="Arial" w:eastAsia="Arial" w:hAnsi="Arial"/>
                <w:color w:val="5B6472"/>
                <w:sz w:val="17"/>
                <w:szCs w:val="17"/>
              </w:rPr>
              <w:t xml:space="preserve">, </w:t>
            </w:r>
            <w:hyperlink w:history="1" r:id="rIdomnqk3y0ltftfh4eiqntg">
              <w:r>
                <w:rPr>
                  <w:rFonts w:ascii="Arial" w:cs="Arial" w:eastAsia="Arial" w:hAnsi="Arial"/>
                  <w:color w:val="1F5FBF"/>
                  <w:sz w:val="17"/>
                  <w:szCs w:val="17"/>
                  <w:u w:val="single"/>
                </w:rPr>
                <w:t xml:space="preserve">ТР ТС 004/2011</w:t>
              </w:r>
            </w:hyperlink>
            <w:r>
              <w:rPr>
                <w:rFonts w:ascii="Arial" w:cs="Arial" w:eastAsia="Arial" w:hAnsi="Arial"/>
                <w:color w:val="5B6472"/>
                <w:sz w:val="17"/>
                <w:szCs w:val="17"/>
              </w:rPr>
              <w:t xml:space="preserve">.</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Ветеринарный, фитосанитарный и санитарный контроль</w:t>
            </w:r>
          </w:p>
        </w:tc>
        <w:tc>
          <w:tcPr>
            <w:tcW w:type="dxa" w:w="7604"/>
            <w:tcMar>
              <w:top w:type="dxa" w:w="80"/>
              <w:left w:type="dxa" w:w="120"/>
              <w:bottom w:type="dxa" w:w="80"/>
              <w:right w:type="dxa" w:w="120"/>
            </w:tcMar>
          </w:tcPr>
          <w:p>
            <w:pPr>
              <w:spacing w:after="60"/>
              <w:ind w:left="220" w:hanging="160"/>
            </w:pPr>
            <w:r>
              <w:rPr>
                <w:rFonts w:ascii="Arial" w:cs="Arial" w:eastAsia="Arial" w:hAnsi="Arial"/>
                <w:sz w:val="19"/>
                <w:szCs w:val="19"/>
              </w:rPr>
              <w:t xml:space="preserve">• Санитарно-эпидемиологический надзор (контроль) (в перечне названа вся группа: касается товаров с этим наименованием): Продукция машиностроения и приборостроения производственного, медицинского и бытового назначения, кроме запасных частей к транспортным средствам и бытовой технике (за исключением контактирующих с питьевой водой и пищевыми продуктами); Средства индивидуальной защиты; Иная продукция (товары), в отношении которой одним из государств – членов Евразийского экономического союза введены временные…</w:t>
            </w:r>
          </w:p>
          <w:p>
            <w:pPr>
              <w:spacing w:after="60"/>
            </w:pPr>
            <w:hyperlink w:history="1" r:id="rId7zolbgcgdzkcao82vwqhj">
              <w:r>
                <w:rPr>
                  <w:rFonts w:ascii="Arial" w:cs="Arial" w:eastAsia="Arial" w:hAnsi="Arial"/>
                  <w:color w:val="1F5FBF"/>
                  <w:sz w:val="17"/>
                  <w:szCs w:val="17"/>
                  <w:u w:val="single"/>
                </w:rPr>
                <w:t xml:space="preserve">Решение Коллегии Евразийской экономической комиссии от 17.09.2019 № 154</w:t>
              </w:r>
            </w:hyperlink>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Прочие особенности</w:t>
            </w:r>
          </w:p>
        </w:tc>
        <w:tc>
          <w:tcPr>
            <w:tcW w:type="dxa" w:w="7604"/>
            <w:tcMar>
              <w:top w:type="dxa" w:w="80"/>
              <w:left w:type="dxa" w:w="120"/>
              <w:bottom w:type="dxa" w:w="80"/>
              <w:right w:type="dxa" w:w="120"/>
            </w:tcMar>
          </w:tcPr>
          <w:p>
            <w:pPr>
              <w:spacing w:after="60"/>
              <w:ind w:left="220" w:hanging="160"/>
            </w:pPr>
            <w:r>
              <w:rPr>
                <w:rFonts w:ascii="Arial" w:cs="Arial" w:eastAsia="Arial" w:hAnsi="Arial"/>
                <w:sz w:val="19"/>
                <w:szCs w:val="19"/>
              </w:rPr>
              <w:t xml:space="preserve">• Деревянная упаковка и крепёжный материал (поддоны, ящики, прокладки) должны иметь маркировку по международному стандарту МСФМ № 15 (Единые карантинные фитосанитарные требования, решение Совета ЕЭК от 30.11.2016 № 157).</w:t>
            </w:r>
          </w:p>
          <w:p>
            <w:pPr>
              <w:spacing w:after="60"/>
              <w:ind w:left="220" w:hanging="160"/>
            </w:pPr>
            <w:r>
              <w:rPr>
                <w:rFonts w:ascii="Arial" w:cs="Arial" w:eastAsia="Arial" w:hAnsi="Arial"/>
                <w:sz w:val="19"/>
                <w:szCs w:val="19"/>
              </w:rPr>
              <w:t xml:space="preserve">• Если на товаре есть товарный знак, проверьте его в таможенном реестре объектов интеллектуальной собственности: выпуск товара со знаком из реестра могут приостановить до подтверждения прав. Поиск по реестру: https://imexp.ru/tools/proverka-tovara?tab=trois</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Экспортный контроль</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Код не назван ни в одном из шести контрольных списков экспортного контроля (</w:t>
            </w:r>
            <w:hyperlink w:history="1" r:id="rIdik0reoo64jdh-_qmzffea">
              <w:r>
                <w:rPr>
                  <w:rFonts w:ascii="Arial" w:cs="Arial" w:eastAsia="Arial" w:hAnsi="Arial"/>
                  <w:color w:val="1F5FBF"/>
                  <w:sz w:val="19"/>
                  <w:szCs w:val="19"/>
                  <w:u w:val="single"/>
                </w:rPr>
                <w:t xml:space="preserve">постановления Правительства РФ от 16.07.2022 № 1284</w:t>
              </w:r>
            </w:hyperlink>
            <w:r>
              <w:rPr>
                <w:rFonts w:ascii="Arial" w:cs="Arial" w:eastAsia="Arial" w:hAnsi="Arial"/>
                <w:sz w:val="19"/>
                <w:szCs w:val="19"/>
              </w:rPr>
              <w:t xml:space="preserve">–1288 и от 19.07.2022 № 1299).</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Классификация</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Решений о классификации по коду в наших наборах нет.</w:t>
            </w:r>
          </w:p>
          <w:p>
            <w:pPr>
              <w:spacing w:after="60"/>
            </w:pPr>
            <w:r>
              <w:rPr>
                <w:rFonts w:ascii="Arial" w:cs="Arial" w:eastAsia="Arial" w:hAnsi="Arial"/>
                <w:color w:val="5B6472"/>
                <w:sz w:val="17"/>
                <w:szCs w:val="17"/>
              </w:rPr>
              <w:t xml:space="preserve">Основание: Таможенный кодекс ЕАЭС, статьи 20–22</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Как декларировать</w:t>
            </w:r>
          </w:p>
        </w:tc>
        <w:tc>
          <w:tcPr>
            <w:tcW w:type="dxa" w:w="7604"/>
            <w:tcMar>
              <w:top w:type="dxa" w:w="80"/>
              <w:left w:type="dxa" w:w="120"/>
              <w:bottom w:type="dxa" w:w="80"/>
              <w:right w:type="dxa" w:w="120"/>
            </w:tcMar>
          </w:tcPr>
          <w:p>
            <w:pPr>
              <w:spacing w:after="60"/>
              <w:ind w:left="220" w:hanging="160"/>
            </w:pPr>
            <w:r>
              <w:rPr>
                <w:rFonts w:ascii="Arial" w:cs="Arial" w:eastAsia="Arial" w:hAnsi="Arial"/>
                <w:sz w:val="19"/>
                <w:szCs w:val="19"/>
              </w:rPr>
              <w:t xml:space="preserve">• Можно ввозить в несобранном или разобранном виде несколькими партиями: таможня принимает решение о классификации товара целиком.</w:t>
            </w:r>
          </w:p>
          <w:p>
            <w:pPr>
              <w:spacing w:after="60"/>
            </w:pPr>
            <w:hyperlink w:history="1" r:id="rId60hhlsp8bftvozf61urlj">
              <w:r>
                <w:rPr>
                  <w:rFonts w:ascii="Arial" w:cs="Arial" w:eastAsia="Arial" w:hAnsi="Arial"/>
                  <w:color w:val="1F5FBF"/>
                  <w:sz w:val="17"/>
                  <w:szCs w:val="17"/>
                  <w:u w:val="single"/>
                </w:rPr>
                <w:t xml:space="preserve">Решение Коллегии ЕЭК от 03.04.2018 № 45</w:t>
              </w:r>
            </w:hyperlink>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Декларирование</w:t>
            </w:r>
          </w:p>
        </w:tc>
        <w:tc>
          <w:tcPr>
            <w:tcW w:type="dxa" w:w="7604"/>
            <w:tcMar>
              <w:top w:type="dxa" w:w="80"/>
              <w:left w:type="dxa" w:w="120"/>
              <w:bottom w:type="dxa" w:w="80"/>
              <w:right w:type="dxa" w:w="120"/>
            </w:tcMar>
          </w:tcPr>
          <w:p>
            <w:pPr>
              <w:spacing w:after="60"/>
            </w:pPr>
            <w:r>
              <w:rPr>
                <w:rFonts w:ascii="Arial" w:cs="Arial" w:eastAsia="Arial" w:hAnsi="Arial"/>
                <w:b/>
                <w:bCs/>
                <w:sz w:val="19"/>
                <w:szCs w:val="19"/>
              </w:rPr>
              <w:t xml:space="preserve">Графа 33 · Код товара</w:t>
            </w:r>
          </w:p>
          <w:p>
            <w:pPr>
              <w:spacing w:after="60"/>
              <w:ind w:left="220" w:hanging="160"/>
            </w:pPr>
            <w:r>
              <w:rPr>
                <w:rFonts w:ascii="Arial" w:cs="Arial" w:eastAsia="Arial" w:hAnsi="Arial"/>
                <w:sz w:val="19"/>
                <w:szCs w:val="19"/>
              </w:rPr>
              <w:t xml:space="preserve">• 9006910000</w:t>
            </w:r>
          </w:p>
          <w:p>
            <w:pPr>
              <w:spacing w:after="60"/>
              <w:ind w:left="220" w:hanging="160"/>
            </w:pPr>
            <w:r>
              <w:rPr>
                <w:rFonts w:ascii="Arial" w:cs="Arial" w:eastAsia="Arial" w:hAnsi="Arial"/>
                <w:sz w:val="19"/>
                <w:szCs w:val="19"/>
              </w:rPr>
              <w:t xml:space="preserve">• О — во втором подразделе, если под одним кодом декларируются товары разных наименований</w:t>
            </w:r>
          </w:p>
          <w:p>
            <w:pPr>
              <w:spacing w:after="60"/>
            </w:pPr>
            <w:r>
              <w:rPr>
                <w:rFonts w:ascii="Arial" w:cs="Arial" w:eastAsia="Arial" w:hAnsi="Arial"/>
                <w:b/>
                <w:bCs/>
                <w:sz w:val="19"/>
                <w:szCs w:val="19"/>
              </w:rPr>
              <w:t xml:space="preserve">Графа 36 · Преференция</w:t>
            </w:r>
          </w:p>
          <w:p>
            <w:pPr>
              <w:spacing w:after="60"/>
              <w:ind w:left="220" w:hanging="160"/>
            </w:pPr>
            <w:r>
              <w:rPr>
                <w:rFonts w:ascii="Arial" w:cs="Arial" w:eastAsia="Arial" w:hAnsi="Arial"/>
                <w:sz w:val="19"/>
                <w:szCs w:val="19"/>
              </w:rPr>
              <w:t xml:space="preserve">• ОООО-ОО — Сборы, пошлина, акциз, НДС: льготы не запрашиваются, акциза нет (прочерк)</w:t>
            </w:r>
          </w:p>
          <w:p>
            <w:pPr>
              <w:spacing w:after="60"/>
            </w:pPr>
            <w:r>
              <w:rPr>
                <w:rFonts w:ascii="Arial" w:cs="Arial" w:eastAsia="Arial" w:hAnsi="Arial"/>
                <w:b/>
                <w:bCs/>
                <w:sz w:val="19"/>
                <w:szCs w:val="19"/>
              </w:rPr>
              <w:t xml:space="preserve">Графа 47 · Исчисление платежей</w:t>
            </w:r>
          </w:p>
          <w:p>
            <w:pPr>
              <w:spacing w:after="60"/>
              <w:ind w:left="220" w:hanging="160"/>
            </w:pPr>
            <w:r>
              <w:rPr>
                <w:rFonts w:ascii="Arial" w:cs="Arial" w:eastAsia="Arial" w:hAnsi="Arial"/>
                <w:sz w:val="19"/>
                <w:szCs w:val="19"/>
              </w:rPr>
              <w:t xml:space="preserve">• 1010 — Таможенные сборы за совершение таможенных операций (за таможенное оформление товаров, за таможенное декларирование товаров, за таможенные операции)</w:t>
            </w:r>
          </w:p>
          <w:p>
            <w:pPr>
              <w:spacing w:after="60"/>
              <w:ind w:left="220" w:hanging="160"/>
            </w:pPr>
            <w:r>
              <w:rPr>
                <w:rFonts w:ascii="Arial" w:cs="Arial" w:eastAsia="Arial" w:hAnsi="Arial"/>
                <w:sz w:val="19"/>
                <w:szCs w:val="19"/>
              </w:rPr>
              <w:t xml:space="preserve">• 2010 — Ввозная таможенная пошлина (иные пошлины, налоги и сборы, имеющие эквивалентное действие), обязанность по уплате которой возникла с 1 сентября 2010 г.</w:t>
            </w:r>
          </w:p>
          <w:p>
            <w:pPr>
              <w:spacing w:after="60"/>
              <w:ind w:left="220" w:hanging="160"/>
            </w:pPr>
            <w:r>
              <w:rPr>
                <w:rFonts w:ascii="Arial" w:cs="Arial" w:eastAsia="Arial" w:hAnsi="Arial"/>
                <w:sz w:val="19"/>
                <w:szCs w:val="19"/>
              </w:rPr>
              <w:t xml:space="preserve">• 5010 — Налог на добавленную стоимость</w:t>
            </w:r>
          </w:p>
          <w:p>
            <w:pPr>
              <w:spacing w:after="60"/>
            </w:pPr>
            <w:r>
              <w:rPr>
                <w:rFonts w:ascii="Arial" w:cs="Arial" w:eastAsia="Arial" w:hAnsi="Arial"/>
                <w:color w:val="5B6472"/>
                <w:sz w:val="17"/>
                <w:szCs w:val="17"/>
              </w:rPr>
              <w:t xml:space="preserve">Основание: </w:t>
            </w:r>
            <w:hyperlink w:history="1" r:id="rIdjzzmxexhnvk3lo1_iqnqj">
              <w:r>
                <w:rPr>
                  <w:rFonts w:ascii="Arial" w:cs="Arial" w:eastAsia="Arial" w:hAnsi="Arial"/>
                  <w:color w:val="1F5FBF"/>
                  <w:sz w:val="17"/>
                  <w:szCs w:val="17"/>
                  <w:u w:val="single"/>
                </w:rPr>
                <w:t xml:space="preserve">Решение Комиссии Таможенного союза от 20.05.2010 № 257</w:t>
              </w:r>
            </w:hyperlink>
            <w:r>
              <w:rPr>
                <w:rFonts w:ascii="Arial" w:cs="Arial" w:eastAsia="Arial" w:hAnsi="Arial"/>
                <w:color w:val="5B6472"/>
                <w:sz w:val="17"/>
                <w:szCs w:val="17"/>
              </w:rPr>
              <w:t xml:space="preserve">; классификаторы — </w:t>
            </w:r>
            <w:hyperlink w:history="1" r:id="rIder77bcq50at984dx4uqyu">
              <w:r>
                <w:rPr>
                  <w:rFonts w:ascii="Arial" w:cs="Arial" w:eastAsia="Arial" w:hAnsi="Arial"/>
                  <w:color w:val="1F5FBF"/>
                  <w:sz w:val="17"/>
                  <w:szCs w:val="17"/>
                  <w:u w:val="single"/>
                </w:rPr>
                <w:t xml:space="preserve">Решение Комиссии Таможенного союза от 20.09.2010 № 378</w:t>
              </w:r>
            </w:hyperlink>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Как менялась ставка</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Решения ЕЭК с 2016 года, в тексте которых назван код: ставка пошлины, тарифные квоты, защитные и антидемпинговые пошлины. Прежняя ставка — в таблице самого решения.</w:t>
            </w:r>
          </w:p>
          <w:p>
            <w:pPr>
              <w:spacing w:after="60"/>
              <w:ind w:left="220" w:hanging="160"/>
            </w:pPr>
            <w:r>
              <w:rPr>
                <w:rFonts w:ascii="Arial" w:cs="Arial" w:eastAsia="Arial" w:hAnsi="Arial"/>
                <w:sz w:val="19"/>
                <w:szCs w:val="19"/>
              </w:rPr>
              <w:t xml:space="preserve">• </w:t>
            </w:r>
            <w:hyperlink w:history="1" r:id="rId8krdk5chgtjtaot6g3ig9">
              <w:r>
                <w:rPr>
                  <w:rFonts w:ascii="Arial" w:cs="Arial" w:eastAsia="Arial" w:hAnsi="Arial"/>
                  <w:color w:val="1F5FBF"/>
                  <w:sz w:val="19"/>
                  <w:szCs w:val="19"/>
                  <w:u w:val="single"/>
                </w:rPr>
                <w:t xml:space="preserve">Решение Коллегии ЕЭК № 113 от 25.08.2026</w:t>
              </w:r>
            </w:hyperlink>
            <w:r>
              <w:rPr>
                <w:rFonts w:ascii="Arial" w:cs="Arial" w:eastAsia="Arial" w:hAnsi="Arial"/>
                <w:sz w:val="19"/>
                <w:szCs w:val="19"/>
              </w:rPr>
              <w:t xml:space="preserve"> — О применении ставок ввозных таможенных пошлин в отношении товаров, происходящих из Объединенных Арабских Эмиратов и ввозимых на таможенную территорию Евразийского экономического союза (вступило в силу 06.10.2026)</w:t>
            </w:r>
          </w:p>
          <w:p>
            <w:pPr>
              <w:spacing w:after="60"/>
              <w:ind w:left="220" w:hanging="160"/>
            </w:pPr>
            <w:r>
              <w:rPr>
                <w:rFonts w:ascii="Arial" w:cs="Arial" w:eastAsia="Arial" w:hAnsi="Arial"/>
                <w:sz w:val="19"/>
                <w:szCs w:val="19"/>
              </w:rPr>
              <w:t xml:space="preserve">• </w:t>
            </w:r>
            <w:hyperlink w:history="1" r:id="rIdl1uzxws8nmabncoq6xpm8">
              <w:r>
                <w:rPr>
                  <w:rFonts w:ascii="Arial" w:cs="Arial" w:eastAsia="Arial" w:hAnsi="Arial"/>
                  <w:color w:val="1F5FBF"/>
                  <w:sz w:val="19"/>
                  <w:szCs w:val="19"/>
                  <w:u w:val="single"/>
                </w:rPr>
                <w:t xml:space="preserve">Решение Совета ЕЭК № 99 от 05.10.2021</w:t>
              </w:r>
            </w:hyperlink>
            <w:r>
              <w:rPr>
                <w:rFonts w:ascii="Arial" w:cs="Arial" w:eastAsia="Arial" w:hAnsi="Arial"/>
                <w:sz w:val="19"/>
                <w:szCs w:val="19"/>
              </w:rPr>
              <w:t xml:space="preserve"> — О внесении изменений в перечень товаров, происходящих из развивающихся стран или из наименее развитых стран, в отношении которых при ввозе на таможенную территорию Евразийского экономического союза… (вступило в силу 01.01.2022)</w:t>
            </w:r>
          </w:p>
          <w:p>
            <w:pPr>
              <w:spacing w:after="60"/>
              <w:ind w:left="220" w:hanging="160"/>
            </w:pPr>
            <w:r>
              <w:rPr>
                <w:rFonts w:ascii="Arial" w:cs="Arial" w:eastAsia="Arial" w:hAnsi="Arial"/>
                <w:sz w:val="19"/>
                <w:szCs w:val="19"/>
              </w:rPr>
              <w:t xml:space="preserve">• </w:t>
            </w:r>
            <w:hyperlink w:history="1" r:id="rIdmkec6-k2pjx_7lwktvy1c">
              <w:r>
                <w:rPr>
                  <w:rFonts w:ascii="Arial" w:cs="Arial" w:eastAsia="Arial" w:hAnsi="Arial"/>
                  <w:color w:val="1F5FBF"/>
                  <w:sz w:val="19"/>
                  <w:szCs w:val="19"/>
                  <w:u w:val="single"/>
                </w:rPr>
                <w:t xml:space="preserve">Решение Совета ЕЭК № 8 от 13.01.2017</w:t>
              </w:r>
            </w:hyperlink>
            <w:r>
              <w:rPr>
                <w:rFonts w:ascii="Arial" w:cs="Arial" w:eastAsia="Arial" w:hAnsi="Arial"/>
                <w:sz w:val="19"/>
                <w:szCs w:val="19"/>
              </w:rPr>
              <w:t xml:space="preserve"> — О перечне товаров, происходящих из развивающихся стран или из наименее развитых стран, в отношении которых при ввозе на таможенную территорию Евразийского экономического союза предоставляются… (вступило в силу 28.08.2017)</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Другие решения ЕЭК по коду</w:t>
            </w:r>
          </w:p>
        </w:tc>
        <w:tc>
          <w:tcPr>
            <w:tcW w:type="dxa" w:w="7604"/>
            <w:tcMar>
              <w:top w:type="dxa" w:w="80"/>
              <w:left w:type="dxa" w:w="120"/>
              <w:bottom w:type="dxa" w:w="80"/>
              <w:right w:type="dxa" w:w="120"/>
            </w:tcMar>
          </w:tcPr>
          <w:p>
            <w:pPr>
              <w:spacing w:after="60"/>
              <w:ind w:left="220" w:hanging="160"/>
            </w:pPr>
            <w:r>
              <w:rPr>
                <w:rFonts w:ascii="Arial" w:cs="Arial" w:eastAsia="Arial" w:hAnsi="Arial"/>
                <w:sz w:val="19"/>
                <w:szCs w:val="19"/>
              </w:rPr>
              <w:t xml:space="preserve">• </w:t>
            </w:r>
            <w:hyperlink w:history="1" r:id="rIdn05wir3m-pv6pq9sx5muk">
              <w:r>
                <w:rPr>
                  <w:rFonts w:ascii="Arial" w:cs="Arial" w:eastAsia="Arial" w:hAnsi="Arial"/>
                  <w:color w:val="1F5FBF"/>
                  <w:sz w:val="19"/>
                  <w:szCs w:val="19"/>
                  <w:u w:val="single"/>
                </w:rPr>
                <w:t xml:space="preserve">Решение Совета ЕЭК № 1 от 24.01.2025</w:t>
              </w:r>
            </w:hyperlink>
            <w:r>
              <w:rPr>
                <w:rFonts w:ascii="Arial" w:cs="Arial" w:eastAsia="Arial" w:hAnsi="Arial"/>
                <w:sz w:val="19"/>
                <w:szCs w:val="19"/>
              </w:rPr>
              <w:t xml:space="preserve"> — О внесении изменений в Решение Совета Евразийской экономической комиссии от 23 ноября 2020 г. № 105 (вступило в силу 03.02.2025)</w:t>
            </w:r>
          </w:p>
          <w:p>
            <w:pPr>
              <w:spacing w:after="60"/>
              <w:ind w:left="220" w:hanging="160"/>
            </w:pPr>
            <w:r>
              <w:rPr>
                <w:rFonts w:ascii="Arial" w:cs="Arial" w:eastAsia="Arial" w:hAnsi="Arial"/>
                <w:sz w:val="19"/>
                <w:szCs w:val="19"/>
              </w:rPr>
              <w:t xml:space="preserve">• </w:t>
            </w:r>
            <w:hyperlink w:history="1" r:id="rId-s_h-6pd3gx6nty7uvzny">
              <w:r>
                <w:rPr>
                  <w:rFonts w:ascii="Arial" w:cs="Arial" w:eastAsia="Arial" w:hAnsi="Arial"/>
                  <w:color w:val="1F5FBF"/>
                  <w:sz w:val="19"/>
                  <w:szCs w:val="19"/>
                  <w:u w:val="single"/>
                </w:rPr>
                <w:t xml:space="preserve">Решение Совета ЕЭК № 138 от 02.12.2021</w:t>
              </w:r>
            </w:hyperlink>
            <w:r>
              <w:rPr>
                <w:rFonts w:ascii="Arial" w:cs="Arial" w:eastAsia="Arial" w:hAnsi="Arial"/>
                <w:sz w:val="19"/>
                <w:szCs w:val="19"/>
              </w:rPr>
              <w:t xml:space="preserve"> — О внесении изменений в некоторые решения Совета Евразийской экономической комиссии по вопросам маркировки товаров средствами идентификации (вступило в силу 13.12.2021)</w:t>
            </w:r>
          </w:p>
          <w:p>
            <w:pPr>
              <w:spacing w:after="60"/>
              <w:ind w:left="220" w:hanging="160"/>
            </w:pPr>
            <w:r>
              <w:rPr>
                <w:rFonts w:ascii="Arial" w:cs="Arial" w:eastAsia="Arial" w:hAnsi="Arial"/>
                <w:sz w:val="19"/>
                <w:szCs w:val="19"/>
              </w:rPr>
              <w:t xml:space="preserve">• </w:t>
            </w:r>
            <w:hyperlink w:history="1" r:id="rIdqns9kvopyjcrlxsrl746n">
              <w:r>
                <w:rPr>
                  <w:rFonts w:ascii="Arial" w:cs="Arial" w:eastAsia="Arial" w:hAnsi="Arial"/>
                  <w:color w:val="1F5FBF"/>
                  <w:sz w:val="19"/>
                  <w:szCs w:val="19"/>
                  <w:u w:val="single"/>
                </w:rPr>
                <w:t xml:space="preserve">Решение Совета ЕЭК № 130 от 18.11.2019</w:t>
              </w:r>
            </w:hyperlink>
            <w:r>
              <w:rPr>
                <w:rFonts w:ascii="Arial" w:cs="Arial" w:eastAsia="Arial" w:hAnsi="Arial"/>
                <w:sz w:val="19"/>
                <w:szCs w:val="19"/>
              </w:rPr>
              <w:t xml:space="preserve"> — О введении маркировки фотокамер (кроме кинокамер), фотовспышек и ламп-вспышек средствами идентификации (вступило в силу 12.06.2020)</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Переходные ключи ОКПД2</w:t>
            </w:r>
          </w:p>
        </w:tc>
        <w:tc>
          <w:tcPr>
            <w:tcW w:type="dxa" w:w="7604"/>
            <w:tcMar>
              <w:top w:type="dxa" w:w="80"/>
              <w:left w:type="dxa" w:w="120"/>
              <w:bottom w:type="dxa" w:w="80"/>
              <w:right w:type="dxa" w:w="120"/>
            </w:tcMar>
          </w:tcPr>
          <w:p>
            <w:pPr>
              <w:spacing w:after="60"/>
              <w:ind w:left="220" w:hanging="160"/>
            </w:pPr>
            <w:r>
              <w:rPr>
                <w:rFonts w:ascii="Arial" w:cs="Arial" w:eastAsia="Arial" w:hAnsi="Arial"/>
                <w:sz w:val="19"/>
                <w:szCs w:val="19"/>
              </w:rPr>
              <w:t xml:space="preserve">• 26.70.19 — Части и принадлежности фотографического оборудования</w:t>
            </w:r>
          </w:p>
          <w:p>
            <w:pPr>
              <w:spacing w:after="60"/>
            </w:pPr>
            <w:r>
              <w:rPr>
                <w:rFonts w:ascii="Arial" w:cs="Arial" w:eastAsia="Arial" w:hAnsi="Arial"/>
                <w:color w:val="5B6472"/>
                <w:sz w:val="17"/>
                <w:szCs w:val="17"/>
              </w:rPr>
              <w:t xml:space="preserve">Ключи не исчерпывающие: ОКПД2 выбирают по виду деятельности и продукции.</w:t>
            </w:r>
          </w:p>
        </w:tc>
      </w:tr>
    </w:tbl>
    <w:p>
      <w:pPr>
        <w:spacing w:after="60" w:before="240"/>
      </w:pPr>
    </w:p>
    <w:p>
      <w:pPr>
        <w:spacing w:after="60"/>
      </w:pPr>
      <w:r>
        <w:rPr>
          <w:rFonts w:ascii="Arial" w:cs="Arial" w:eastAsia="Arial" w:hAnsi="Arial"/>
          <w:color w:val="5B6472"/>
          <w:sz w:val="17"/>
          <w:szCs w:val="17"/>
        </w:rPr>
        <w:t xml:space="preserve">Справка собрана автоматически по официальным актам ЕАЭС и России. Меры, найденные по началу кода, помечены как касающиеся части товаров: применима ли мера к вашему товару, решают его характеристики и документы поставки. Справка не заменяет решение по классификации.</w:t>
      </w:r>
    </w:p>
    <w:p>
      <w:pPr>
        <w:spacing w:after="60"/>
      </w:pPr>
      <w:r>
        <w:rPr>
          <w:rFonts w:ascii="Arial" w:cs="Arial" w:eastAsia="Arial" w:hAnsi="Arial"/>
          <w:color w:val="5B6472"/>
          <w:sz w:val="17"/>
          <w:szCs w:val="17"/>
        </w:rPr>
        <w:t xml:space="preserve">Разъяснительные письма таможни и судебная практика в справку не входят. Проверку кода под ваш товар с обоснованием можно заказать на странице кода.</w:t>
      </w:r>
    </w:p>
    <w:p>
      <w:pPr>
        <w:jc w:val="left"/>
      </w:pPr>
      <w:r>
        <w:rPr>
          <w:rFonts w:ascii="Arial" w:cs="Arial" w:eastAsia="Arial" w:hAnsi="Arial"/>
          <w:color w:val="1F5FBF"/>
          <w:sz w:val="17"/>
          <w:szCs w:val="17"/>
        </w:rPr>
        <w:t xml:space="preserve">https://imexp.ru/katalog/kod/9006910000</w:t>
      </w:r>
    </w:p>
    <w:sectPr>
      <w:pgSz w:w="11906" w:h="16838" w:orient="portrait"/>
      <w:pgMar w:top="851" w:right="851" w:bottom="851" w:left="851"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luxsdyei3mbtg2dhran6a" Type="http://schemas.openxmlformats.org/officeDocument/2006/relationships/hyperlink" Target="https://docs.eaeunion.org/documents/386/6099/" TargetMode="External"/><Relationship Id="rIdypwacw2a6cj0_mnlr5cfm" Type="http://schemas.openxmlformats.org/officeDocument/2006/relationships/hyperlink" Target="https://docs.eaeunion.org/documents/386/6099/" TargetMode="External"/><Relationship Id="rIdbwjyf69rufzbyg4xlodpt" Type="http://schemas.openxmlformats.org/officeDocument/2006/relationships/hyperlink" Target="https://docs.eaeunion.org/documents/335/4666/" TargetMode="External"/><Relationship Id="rIdes3eh_ddl5q-sj03tlraz" Type="http://schemas.openxmlformats.org/officeDocument/2006/relationships/hyperlink" Target="http://publication.pravo.gov.ru/document/0001202308040119" TargetMode="External"/><Relationship Id="rIdzjbfnmshvu5tatyzg_yuq" Type="http://schemas.openxmlformats.org/officeDocument/2006/relationships/hyperlink" Target="https://eur-lex.europa.eu/eli/reg/2014/833/oj/eng" TargetMode="External"/><Relationship Id="rIdtmhgvu1p53wdj0ejjoajl" Type="http://schemas.openxmlformats.org/officeDocument/2006/relationships/hyperlink" Target="https://www.legislation.gov.uk/uksi/2019/855/contents" TargetMode="External"/><Relationship Id="rIdcd9zhdjerqetq5e9usbjn" Type="http://schemas.openxmlformats.org/officeDocument/2006/relationships/hyperlink" Target="https://www.ecfr.gov/current/title-15/subtitle-B/chapter-VII/subchapter-C/part-746" TargetMode="External"/><Relationship Id="rIdtrckcoa0b8ul-b9_-nqsr" Type="http://schemas.openxmlformats.org/officeDocument/2006/relationships/hyperlink" Target="http://publication.pravo.gov.ru/document/0001202308040119" TargetMode="External"/><Relationship Id="rIdwnl7vudu3lsdyzm4jqm94" Type="http://schemas.openxmlformats.org/officeDocument/2006/relationships/hyperlink" Target="https://docs.eaeunion.org/documents/386/6099/" TargetMode="External"/><Relationship Id="rIddjerrazdc396id8elcsfn" Type="http://schemas.openxmlformats.org/officeDocument/2006/relationships/hyperlink" Target="http://publication.pravo.gov.ru/document/0001202411290098" TargetMode="External"/><Relationship Id="rIdzstm9u57uyqnchhu2mr9e" Type="http://schemas.openxmlformats.org/officeDocument/2006/relationships/hyperlink" Target="http://publication.pravo.gov.ru/document/0001201805040007" TargetMode="External"/><Relationship Id="rId4i1dkpz8fnj-af7reen8w" Type="http://schemas.openxmlformats.org/officeDocument/2006/relationships/hyperlink" Target="https://eec.eaeunion.org/comission/department/deptexreg/tr/EMS.php" TargetMode="External"/><Relationship Id="rIdkfnuik8yv2oy372renc_t" Type="http://schemas.openxmlformats.org/officeDocument/2006/relationships/hyperlink" Target="https://eec.eaeunion.org/comission/department/deptexreg/tr/TR_EEU_037.php" TargetMode="External"/><Relationship Id="rIdomnqk3y0ltftfh4eiqntg" Type="http://schemas.openxmlformats.org/officeDocument/2006/relationships/hyperlink" Target="https://eec.eaeunion.org/comission/department/deptexreg/tr/Down_Volt.php" TargetMode="External"/><Relationship Id="rId7zolbgcgdzkcao82vwqhj" Type="http://schemas.openxmlformats.org/officeDocument/2006/relationships/hyperlink" Target="https://docs.eaeunion.org/documents/335/4666/" TargetMode="External"/><Relationship Id="rIdik0reoo64jdh-_qmzffea" Type="http://schemas.openxmlformats.org/officeDocument/2006/relationships/hyperlink" Target="http://publication.pravo.gov.ru/document/0001202207190026" TargetMode="External"/><Relationship Id="rId60hhlsp8bftvozf61urlj" Type="http://schemas.openxmlformats.org/officeDocument/2006/relationships/hyperlink" Target="https://docs.eaeunion.org/documents/253/3575/" TargetMode="External"/><Relationship Id="rIdjzzmxexhnvk3lo1_iqnqj" Type="http://schemas.openxmlformats.org/officeDocument/2006/relationships/hyperlink" Target="https://docs.eaeunion.org/documents/214/946/" TargetMode="External"/><Relationship Id="rIder77bcq50at984dx4uqyu" Type="http://schemas.openxmlformats.org/officeDocument/2006/relationships/hyperlink" Target="https://docs.eaeunion.org/documents/208/8939/" TargetMode="External"/><Relationship Id="rId8krdk5chgtjtaot6g3ig9" Type="http://schemas.openxmlformats.org/officeDocument/2006/relationships/hyperlink" Target="https://docs.eaeunion.org/documents/463/10896/" TargetMode="External"/><Relationship Id="rIdl1uzxws8nmabncoq6xpm8" Type="http://schemas.openxmlformats.org/officeDocument/2006/relationships/hyperlink" Target="https://docs.eaeunion.org/documents/386/6162/" TargetMode="External"/><Relationship Id="rIdmkec6-k2pjx_7lwktvy1c" Type="http://schemas.openxmlformats.org/officeDocument/2006/relationships/hyperlink" Target="https://docs.eaeunion.org/documents/317/2804/" TargetMode="External"/><Relationship Id="rIdn05wir3m-pv6pq9sx5muk" Type="http://schemas.openxmlformats.org/officeDocument/2006/relationships/hyperlink" Target="https://docs.eaeunion.org/documents/447/9823/" TargetMode="External"/><Relationship Id="rId-s_h-6pd3gx6nty7uvzny" Type="http://schemas.openxmlformats.org/officeDocument/2006/relationships/hyperlink" Target="https://docs.eaeunion.org/documents/386/6272/" TargetMode="External"/><Relationship Id="rIdqns9kvopyjcrlxsrl746n" Type="http://schemas.openxmlformats.org/officeDocument/2006/relationships/hyperlink" Target="https://docs.eaeunion.org/documents/338/5148/" TargetMode="External"/><Relationship Id="rId32"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Справка о товаре 9006 91 000 0</dc:title>
  <dc:creator>IMEXP</dc:creator>
  <cp:lastModifiedBy>Un-named</cp:lastModifiedBy>
  <cp:revision>1</cp:revision>
  <dcterms:created xsi:type="dcterms:W3CDTF">2026-10-27T05:24:49.723Z</dcterms:created>
  <dcterms:modified xsi:type="dcterms:W3CDTF">2026-10-27T05:24:49.723Z</dcterms:modified>
</cp:coreProperties>
</file>

<file path=docProps/custom.xml><?xml version="1.0" encoding="utf-8"?>
<Properties xmlns="http://schemas.openxmlformats.org/officeDocument/2006/custom-properties" xmlns:vt="http://schemas.openxmlformats.org/officeDocument/2006/docPropsVTypes"/>
</file>