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9018 90 840 9</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9018 — Приборы и устройства, применяемые в медицине, хирургии, стоматологии или ветеринарии, включая сцинтиграфическую аппаратуру, аппаратура электромедицинская прочая и приборы для исследования зрения</w:t>
            </w:r>
          </w:p>
          <w:p>
            <w:pPr>
              <w:spacing w:after="60"/>
            </w:pPr>
            <w:r>
              <w:rPr>
                <w:rFonts w:ascii="Arial" w:cs="Arial" w:eastAsia="Arial" w:hAnsi="Arial"/>
                <w:color w:val="5B6472"/>
                <w:sz w:val="17"/>
                <w:szCs w:val="17"/>
              </w:rPr>
              <w:t xml:space="preserve">9018 90 — Инструменты и оборудование, прочие</w:t>
            </w:r>
          </w:p>
          <w:p>
            <w:pPr>
              <w:spacing w:after="60"/>
            </w:pPr>
            <w:r>
              <w:rPr>
                <w:rFonts w:ascii="Arial" w:cs="Arial" w:eastAsia="Arial" w:hAnsi="Arial"/>
                <w:color w:val="5B6472"/>
                <w:sz w:val="17"/>
                <w:szCs w:val="17"/>
              </w:rPr>
              <w:t xml:space="preserve">9018 90 84 — Инструменты и оборудование, прочие: прочие</w:t>
            </w:r>
          </w:p>
          <w:p>
            <w:pPr>
              <w:spacing w:after="60"/>
            </w:pPr>
            <w:r>
              <w:rPr>
                <w:rFonts w:ascii="Arial" w:cs="Arial" w:eastAsia="Arial" w:hAnsi="Arial"/>
                <w:b/>
                <w:bCs/>
                <w:sz w:val="19"/>
                <w:szCs w:val="19"/>
              </w:rPr>
              <w:t xml:space="preserve">9018 90 840 9 — Инструменты и оборудование, прочие: прочие: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ktjpqp2motbzgwx0hkb1b">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a2xjlpodh7apgl8yogzdd">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или Сертификат соответствия — </w:t>
            </w:r>
            <w:hyperlink w:history="1" r:id="rIdzl5ngx9cdwxf5riiyytw1">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cp_f2zqxesul83j9cpi2l">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eadigdclxzwwulvasbeiw">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s19qtyrv-uxsgyxyefjzr">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07kr7wrawubpqph30xwel">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2.16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itt2kaoluso0l_7rvwyln">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423(1)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14 (зубоврачебная продукция, медицинская техника и оборудование, кроме названных в пункте)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hbxblss9r9wlkvhpgejy0">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okfptgqxgv_mffjpagea5">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423(1) (9018 90 840 9): ATEMI, CARBON, CLEAR FIT, DENDER, LIFE FITNESS, MEDELA, NORDICTRACK, OXYGEN FITNESS, PRECOR, SOLE, TECHNOGYM, UNIXFIT</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dljpfnpya1ee7ljsb9pfa">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g8hgrnyjk0i5jdcfcuacb">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_az2q_jtlxlkpivdouo8g">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9018 — Инструменты механизированные 94 3100 (инструменты сшивающие; инструменты режущие с приводом; инструменты механизированные прочие)</w:t>
            </w:r>
          </w:p>
          <w:p>
            <w:pPr>
              <w:spacing w:after="60"/>
              <w:ind w:left="220" w:hanging="160"/>
            </w:pPr>
            <w:r>
              <w:rPr>
                <w:rFonts w:ascii="Arial" w:cs="Arial" w:eastAsia="Arial" w:hAnsi="Arial"/>
                <w:sz w:val="19"/>
                <w:szCs w:val="19"/>
              </w:rPr>
              <w:t xml:space="preserve">• 9018 — Инструменты режущие и ударные с острой (режущей) кромкой 94 3300 (инструменты однолезвийные; томы; инструменты выкусывающие; ножницы (медицинские); инструменты однолезвийные скоблящие; инструменты многолезвийные с вращением вокруг собственной оси (сверла, фрезы, боры) и прочие)</w:t>
            </w:r>
          </w:p>
          <w:p>
            <w:pPr>
              <w:spacing w:after="60"/>
              <w:ind w:left="220" w:hanging="160"/>
            </w:pPr>
            <w:r>
              <w:rPr>
                <w:rFonts w:ascii="Arial" w:cs="Arial" w:eastAsia="Arial" w:hAnsi="Arial"/>
                <w:sz w:val="19"/>
                <w:szCs w:val="19"/>
              </w:rPr>
              <w:t xml:space="preserve">• 9018 — Инструменты оттесняющие 94 3400 (расширители; инструменты оттесняющие (зеркала, шпатели); инструменты разделяющие; инструменты извлекающие)</w:t>
            </w:r>
          </w:p>
          <w:p>
            <w:pPr>
              <w:spacing w:after="60"/>
              <w:ind w:left="220" w:hanging="160"/>
            </w:pPr>
            <w:r>
              <w:rPr>
                <w:rFonts w:ascii="Arial" w:cs="Arial" w:eastAsia="Arial" w:hAnsi="Arial"/>
                <w:sz w:val="19"/>
                <w:szCs w:val="19"/>
              </w:rPr>
              <w:t xml:space="preserve">• 9018 — Инструменты многоповерхностного воздействия (зажимные) 94 3500 (зажимы; пинцеты (медицинские); щипцы зажимные; держатели; инструменты раздавливающие)</w:t>
            </w:r>
          </w:p>
          <w:p>
            <w:pPr>
              <w:spacing w:after="60"/>
              <w:ind w:left="220" w:hanging="160"/>
            </w:pPr>
            <w:r>
              <w:rPr>
                <w:rFonts w:ascii="Arial" w:cs="Arial" w:eastAsia="Arial" w:hAnsi="Arial"/>
                <w:sz w:val="19"/>
                <w:szCs w:val="19"/>
              </w:rPr>
              <w:t xml:space="preserve">• 9018 — Инструменты зондирующие, бужирующие 94 3600 (зонды; бужи; катетеры; трубки, канюли) (за исключением 9018 31)</w:t>
            </w:r>
          </w:p>
          <w:p>
            <w:pPr>
              <w:spacing w:after="60"/>
            </w:pPr>
            <w:r>
              <w:rPr>
                <w:rFonts w:ascii="Arial" w:cs="Arial" w:eastAsia="Arial" w:hAnsi="Arial"/>
                <w:color w:val="5B6472"/>
                <w:sz w:val="17"/>
                <w:szCs w:val="17"/>
              </w:rPr>
              <w:t xml:space="preserve">Ещё строк перечня: 8, все — на странице кода.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m3g_n8rlv6vxs2qjsm8te">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Радиоэлектронные средства и (или) высокочастотные устройства гражданского назначения, в том числе встроенные либо входящие в состав других товаров (касается части товаров кода)</w:t>
            </w:r>
          </w:p>
          <w:p>
            <w:pPr>
              <w:spacing w:after="60"/>
            </w:pPr>
            <w:hyperlink w:history="1" r:id="rId2oepyafod1q-zmihzkfbk">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2.16</w:t>
            </w:r>
          </w:p>
          <w:p>
            <w:pPr>
              <w:spacing w:after="60"/>
            </w:pPr>
            <w:r>
              <w:rPr>
                <w:rFonts w:ascii="Arial" w:cs="Arial" w:eastAsia="Arial" w:hAnsi="Arial"/>
                <w:color w:val="5B6472"/>
                <w:sz w:val="17"/>
                <w:szCs w:val="17"/>
              </w:rPr>
              <w:t xml:space="preserve">Есть меры, касающиеся только вывоза, — они в справке на вывоз.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nkfgg8gauyscyuu8qtp6v">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3kf9lmmukyllap4jsfquc">
              <w:r>
                <w:rPr>
                  <w:rFonts w:ascii="Arial" w:cs="Arial" w:eastAsia="Arial" w:hAnsi="Arial"/>
                  <w:b/>
                  <w:bCs/>
                  <w:color w:val="1F5FBF"/>
                  <w:sz w:val="19"/>
                  <w:szCs w:val="19"/>
                  <w:u w:val="single"/>
                </w:rPr>
                <w:t xml:space="preserve">ТР ТС 032/2013</w:t>
              </w:r>
            </w:hyperlink>
            <w:r>
              <w:rPr>
                <w:rFonts w:ascii="Arial" w:cs="Arial" w:eastAsia="Arial" w:hAnsi="Arial"/>
                <w:b/>
                <w:bCs/>
                <w:sz w:val="19"/>
                <w:szCs w:val="19"/>
              </w:rPr>
              <w:t xml:space="preserve"> «О безопасности оборудования, работающего под избыточным давлением»</w:t>
            </w:r>
          </w:p>
          <w:p>
            <w:pPr>
              <w:spacing w:after="60"/>
              <w:ind w:left="220" w:hanging="160"/>
            </w:pPr>
            <w:r>
              <w:rPr>
                <w:rFonts w:ascii="Arial" w:cs="Arial" w:eastAsia="Arial" w:hAnsi="Arial"/>
                <w:sz w:val="19"/>
                <w:szCs w:val="19"/>
              </w:rPr>
              <w:t xml:space="preserve">• декларация о соответствии или сертификат соответствия: Барокамеры (кроме одноместных медицинских)</w:t>
            </w:r>
          </w:p>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Инструменты вспомогательные, принадлежности и приспособления разные, металлические шурупы для костей (применяемые в ветеринарии) (касается части товаров кода)</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9018 90 действует сертификатов: 3, деклараций: 1717; чаще по </w:t>
            </w:r>
            <w:hyperlink w:history="1" r:id="rIdzxrpfu1ql6n_unfovgfvg">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ltbc0okjm_j8tynzs4jdf">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a5sgapwc9zpygtxnmkggz">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qgev8hab5kmv-ys-bm4q4">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ppyllnuluvenyslak1ln4">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84 от 16.07.2024: Кольпоскоп со стереоскопическим бинокуляром Кольпоскоп без стереоскопического бинокуляра</w:t>
            </w:r>
          </w:p>
          <w:p>
            <w:pPr>
              <w:spacing w:after="60"/>
              <w:ind w:left="220" w:hanging="160"/>
            </w:pPr>
            <w:r>
              <w:rPr>
                <w:rFonts w:ascii="Arial" w:cs="Arial" w:eastAsia="Arial" w:hAnsi="Arial"/>
                <w:sz w:val="19"/>
                <w:szCs w:val="19"/>
              </w:rPr>
              <w:t xml:space="preserve">• № 96 от 05.07.2022: Индефлятор</w:t>
            </w:r>
          </w:p>
          <w:p>
            <w:pPr>
              <w:spacing w:after="60"/>
              <w:ind w:left="220" w:hanging="160"/>
            </w:pPr>
            <w:r>
              <w:rPr>
                <w:rFonts w:ascii="Arial" w:cs="Arial" w:eastAsia="Arial" w:hAnsi="Arial"/>
                <w:sz w:val="19"/>
                <w:szCs w:val="19"/>
              </w:rPr>
              <w:t xml:space="preserve">• № 15 от 07.02.2017: Одноразовый набор для обеззараживания плазмы донорской крови</w:t>
            </w:r>
          </w:p>
          <w:p>
            <w:pPr>
              <w:spacing w:after="60"/>
              <w:ind w:left="220" w:hanging="160"/>
            </w:pPr>
            <w:r>
              <w:rPr>
                <w:rFonts w:ascii="Arial" w:cs="Arial" w:eastAsia="Arial" w:hAnsi="Arial"/>
                <w:sz w:val="19"/>
                <w:szCs w:val="19"/>
              </w:rPr>
              <w:t xml:space="preserve">• </w:t>
            </w:r>
            <w:hyperlink w:history="1" r:id="rIday5-5gl3g5yvm8ttyyn7d">
              <w:r>
                <w:rPr>
                  <w:rFonts w:ascii="Arial" w:cs="Arial" w:eastAsia="Arial" w:hAnsi="Arial"/>
                  <w:color w:val="1F5FBF"/>
                  <w:sz w:val="19"/>
                  <w:szCs w:val="19"/>
                  <w:u w:val="single"/>
                </w:rPr>
                <w:t xml:space="preserve">Решение Коллегии ЕЭК № 84 от 16.07.2024</w:t>
              </w:r>
            </w:hyperlink>
            <w:r>
              <w:rPr>
                <w:rFonts w:ascii="Arial" w:cs="Arial" w:eastAsia="Arial" w:hAnsi="Arial"/>
                <w:sz w:val="19"/>
                <w:szCs w:val="19"/>
              </w:rPr>
              <w:t xml:space="preserve">: О классификации кольпоскопов в соответствии с единой Товарной номенклатурой внешнеэкономической деятельности Евразийского экономического союза</w:t>
            </w:r>
          </w:p>
          <w:p>
            <w:pPr>
              <w:spacing w:after="60"/>
              <w:ind w:left="220" w:hanging="160"/>
            </w:pPr>
            <w:r>
              <w:rPr>
                <w:rFonts w:ascii="Arial" w:cs="Arial" w:eastAsia="Arial" w:hAnsi="Arial"/>
                <w:sz w:val="19"/>
                <w:szCs w:val="19"/>
              </w:rPr>
              <w:t xml:space="preserve">• </w:t>
            </w:r>
            <w:hyperlink w:history="1" r:id="rIdqb-kmvrkebhbqrjounfn8">
              <w:r>
                <w:rPr>
                  <w:rFonts w:ascii="Arial" w:cs="Arial" w:eastAsia="Arial" w:hAnsi="Arial"/>
                  <w:color w:val="1F5FBF"/>
                  <w:sz w:val="19"/>
                  <w:szCs w:val="19"/>
                  <w:u w:val="single"/>
                </w:rPr>
                <w:t xml:space="preserve">Решение Коллегии ЕЭК № 96 от 05.07.2022</w:t>
              </w:r>
            </w:hyperlink>
            <w:r>
              <w:rPr>
                <w:rFonts w:ascii="Arial" w:cs="Arial" w:eastAsia="Arial" w:hAnsi="Arial"/>
                <w:sz w:val="19"/>
                <w:szCs w:val="19"/>
              </w:rPr>
              <w:t xml:space="preserve">: О классификации индефлятора в соответствии с единой Товарной номенклатурой внешнеэкономической деятельности Евразийского экономического союза</w:t>
            </w:r>
          </w:p>
          <w:p>
            <w:pPr>
              <w:spacing w:after="60"/>
              <w:ind w:left="220" w:hanging="160"/>
            </w:pPr>
            <w:r>
              <w:rPr>
                <w:rFonts w:ascii="Arial" w:cs="Arial" w:eastAsia="Arial" w:hAnsi="Arial"/>
                <w:sz w:val="19"/>
                <w:szCs w:val="19"/>
              </w:rPr>
              <w:t xml:space="preserve">• </w:t>
            </w:r>
            <w:hyperlink w:history="1" r:id="rId7s8crdn_rwzsce0m5klm_">
              <w:r>
                <w:rPr>
                  <w:rFonts w:ascii="Arial" w:cs="Arial" w:eastAsia="Arial" w:hAnsi="Arial"/>
                  <w:color w:val="1F5FBF"/>
                  <w:sz w:val="19"/>
                  <w:szCs w:val="19"/>
                  <w:u w:val="single"/>
                </w:rPr>
                <w:t xml:space="preserve">Решение Коллегии ЕЭК № 15 от 07.02.2017</w:t>
              </w:r>
            </w:hyperlink>
            <w:r>
              <w:rPr>
                <w:rFonts w:ascii="Arial" w:cs="Arial" w:eastAsia="Arial" w:hAnsi="Arial"/>
                <w:sz w:val="19"/>
                <w:szCs w:val="19"/>
              </w:rPr>
              <w:t xml:space="preserve">: О классификации одноразового набора для обеззараживания плазмы донорской крови в соответствии с единой Товарной номенклатурой внешнеэкономической деятельности Евразийского экономического союза</w:t>
            </w:r>
          </w:p>
          <w:p>
            <w:pPr>
              <w:spacing w:after="60"/>
            </w:pPr>
            <w:r>
              <w:rPr>
                <w:rFonts w:ascii="Arial" w:cs="Arial" w:eastAsia="Arial" w:hAnsi="Arial"/>
                <w:b/>
                <w:bCs/>
                <w:sz w:val="19"/>
                <w:szCs w:val="19"/>
              </w:rPr>
              <w:t xml:space="preserve">Предварительные решения о классификации, принятые в России (16):</w:t>
            </w:r>
          </w:p>
          <w:p>
            <w:pPr>
              <w:spacing w:after="60"/>
              <w:ind w:left="220" w:hanging="160"/>
            </w:pPr>
            <w:r>
              <w:rPr>
                <w:rFonts w:ascii="Arial" w:cs="Arial" w:eastAsia="Arial" w:hAnsi="Arial"/>
                <w:sz w:val="19"/>
                <w:szCs w:val="19"/>
              </w:rPr>
              <w:t xml:space="preserve">• Товар представляет собой Т-образную внутриматочную терапевтическую систему с содержанием действующего вещества левоноргестрел микронизированный 52 мг (CAS № 797-63-7), которая после введения в матку высвобождает гормон левоноргестрел непосредственно в полость…</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Набор ручных хирургических ортопедических инструментов из нержавеющей стали используется в профессиональной практике хирургами с целью проведения хирургических операций для реконструкции шейных позвонков (C3–C7) в процессе лечения заболеваний шейного отдела…</w:t>
            </w:r>
          </w:p>
          <w:p>
            <w:pPr>
              <w:spacing w:after="60"/>
            </w:pPr>
            <w:r>
              <w:rPr>
                <w:rFonts w:ascii="Arial" w:cs="Arial" w:eastAsia="Arial" w:hAnsi="Arial"/>
                <w:color w:val="5B6472"/>
                <w:sz w:val="17"/>
                <w:szCs w:val="17"/>
              </w:rPr>
              <w:t xml:space="preserve">В соответствии с ОПИ 3 б) и 6</w:t>
            </w:r>
          </w:p>
          <w:p>
            <w:pPr>
              <w:spacing w:after="60"/>
              <w:ind w:left="220" w:hanging="160"/>
            </w:pPr>
            <w:r>
              <w:rPr>
                <w:rFonts w:ascii="Arial" w:cs="Arial" w:eastAsia="Arial" w:hAnsi="Arial"/>
                <w:sz w:val="19"/>
                <w:szCs w:val="19"/>
              </w:rPr>
              <w:t xml:space="preserve">• Трубка пациента представляет собой одноразовое стерильное изделие для медицинского применения в виде трубки из поливинилхлорида длиной 320 см. Изделие состоит из следующих компонентов: трубка, гнездовая часть разъема Люэра, защитные колпачки для концов…</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Трубка пациента представляет собой одноразовое стерильное изделие для медицинского применения в виде трубки из поливинилхлорида длиной 250 см. Изделие состоит из следующих компонентов: трубка, гнездовая часть разъема Люэра, защитные колпачки для концов…</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Расходное, стерильное, пластиковое, одноразовое изделие используется совместно с артроскопической помпой (не входит в комплект поставки) во время проведения артроскопических операций на суставах для осуществления притока ирригационной жидкости в колено,…</w:t>
            </w:r>
          </w:p>
          <w:p>
            <w:pPr>
              <w:spacing w:after="60"/>
            </w:pPr>
            <w:r>
              <w:rPr>
                <w:rFonts w:ascii="Arial" w:cs="Arial" w:eastAsia="Arial" w:hAnsi="Arial"/>
                <w:color w:val="5B6472"/>
                <w:sz w:val="17"/>
                <w:szCs w:val="17"/>
              </w:rPr>
              <w:t xml:space="preserve">В соответствии с ОПИ 1 и 6</w:t>
            </w:r>
          </w:p>
          <w:p>
            <w:pPr>
              <w:spacing w:after="60"/>
            </w:pPr>
            <w:r>
              <w:rPr>
                <w:rFonts w:ascii="Arial" w:cs="Arial" w:eastAsia="Arial" w:hAnsi="Arial"/>
                <w:color w:val="5B6472"/>
                <w:sz w:val="17"/>
                <w:szCs w:val="17"/>
              </w:rPr>
              <w:t xml:space="preserve">Ещё решений: 11, все — на странице кода.</w:t>
            </w:r>
          </w:p>
          <w:p>
            <w:pPr>
              <w:spacing w:after="60"/>
            </w:pPr>
            <w:r>
              <w:rPr>
                <w:rFonts w:ascii="Arial" w:cs="Arial" w:eastAsia="Arial" w:hAnsi="Arial"/>
                <w:b/>
                <w:bCs/>
                <w:sz w:val="19"/>
                <w:szCs w:val="19"/>
              </w:rPr>
              <w:t xml:space="preserve">Предварительные решения других стран ЕАЭС (19);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Лупа хирургическая бинокулярная представляет собой специальный оптический прибор, подобранный и изготовленный на основе индивидуальных данных хирурга, и предназначенный для улучшения визуализации хирургического поля с линейным увеличением…</w:t>
            </w:r>
          </w:p>
          <w:p>
            <w:pPr>
              <w:spacing w:after="60"/>
            </w:pPr>
            <w:r>
              <w:rPr>
                <w:rFonts w:ascii="Arial" w:cs="Arial" w:eastAsia="Arial" w:hAnsi="Arial"/>
                <w:color w:val="5B6472"/>
                <w:sz w:val="17"/>
                <w:szCs w:val="17"/>
              </w:rPr>
              <w:t xml:space="preserve">В соответсвии с ОПИ 1, 3б и 6 ТН ВЭД ЕАЭС</w:t>
            </w:r>
          </w:p>
          <w:p>
            <w:pPr>
              <w:spacing w:after="60"/>
              <w:ind w:left="220" w:hanging="160"/>
            </w:pPr>
            <w:r>
              <w:rPr>
                <w:rFonts w:ascii="Arial" w:cs="Arial" w:eastAsia="Arial" w:hAnsi="Arial"/>
                <w:sz w:val="19"/>
                <w:szCs w:val="19"/>
              </w:rPr>
              <w:t xml:space="preserve">• Беларусь: Товар представляет собой устройство, предназначенное для воздействия лазерным излучением на поверхностные ткани органов человека в клинических условиях и косметологических кабинетах с целью фракционной вапоризации кожи, традиционной…</w:t>
            </w:r>
          </w:p>
          <w:p>
            <w:pPr>
              <w:spacing w:after="60"/>
            </w:pPr>
            <w:r>
              <w:rPr>
                <w:rFonts w:ascii="Arial" w:cs="Arial" w:eastAsia="Arial" w:hAnsi="Arial"/>
                <w:color w:val="5B6472"/>
                <w:sz w:val="17"/>
                <w:szCs w:val="17"/>
              </w:rPr>
              <w:t xml:space="preserve">В соответствии с ОПИ 1, 2(а), 6, пояснения к товарной позиции 9018</w:t>
            </w:r>
          </w:p>
          <w:p>
            <w:pPr>
              <w:spacing w:after="60"/>
              <w:ind w:left="220" w:hanging="160"/>
            </w:pPr>
            <w:r>
              <w:rPr>
                <w:rFonts w:ascii="Arial" w:cs="Arial" w:eastAsia="Arial" w:hAnsi="Arial"/>
                <w:sz w:val="19"/>
                <w:szCs w:val="19"/>
              </w:rPr>
              <w:t xml:space="preserve">• Беларусь: Трубка насоса представляет собой изделие, выполненное из полиуретана и ПВХ и предназначенное для внутривенного введения контрастного вещества и физиологического солевого раствора пациентам в ходе КТ- и МРТ-исследований. Товар используется… (решений с таким началом описания: 2)</w:t>
            </w:r>
          </w:p>
          <w:p>
            <w:pPr>
              <w:spacing w:after="60"/>
            </w:pPr>
            <w:r>
              <w:rPr>
                <w:rFonts w:ascii="Arial" w:cs="Arial" w:eastAsia="Arial" w:hAnsi="Arial"/>
                <w:color w:val="5B6472"/>
                <w:sz w:val="17"/>
                <w:szCs w:val="17"/>
              </w:rPr>
              <w:t xml:space="preserve">Основные правила интерпретации 1 (примечание 2 (б) к группе 90) и 6 ТН ВЭД ЕАЭС.</w:t>
            </w:r>
          </w:p>
          <w:p>
            <w:pPr>
              <w:spacing w:after="60"/>
              <w:ind w:left="220" w:hanging="160"/>
            </w:pPr>
            <w:r>
              <w:rPr>
                <w:rFonts w:ascii="Arial" w:cs="Arial" w:eastAsia="Arial" w:hAnsi="Arial"/>
                <w:sz w:val="19"/>
                <w:szCs w:val="19"/>
              </w:rPr>
              <w:t xml:space="preserve">• Беларусь: Трубка пациента представляет собой изделие, выполненное из полиуретана и ПВХ и предназначенное для внутривенного введения контрастного вещества и физиологического солевого раствора пациентам в ходе КТ- и МРТ-исследований. Трубка пациента…</w:t>
            </w:r>
          </w:p>
          <w:p>
            <w:pPr>
              <w:spacing w:after="60"/>
            </w:pPr>
            <w:r>
              <w:rPr>
                <w:rFonts w:ascii="Arial" w:cs="Arial" w:eastAsia="Arial" w:hAnsi="Arial"/>
                <w:color w:val="5B6472"/>
                <w:sz w:val="17"/>
                <w:szCs w:val="17"/>
              </w:rPr>
              <w:t xml:space="preserve">Основные правила интерпретации 1 (примечание 2 (б) к группе 90) и 6 ТН ВЭД ЕАЭС.</w:t>
            </w:r>
          </w:p>
          <w:p>
            <w:pPr>
              <w:spacing w:after="60"/>
            </w:pPr>
            <w:r>
              <w:rPr>
                <w:rFonts w:ascii="Arial" w:cs="Arial" w:eastAsia="Arial" w:hAnsi="Arial"/>
                <w:color w:val="5B6472"/>
                <w:sz w:val="17"/>
                <w:szCs w:val="17"/>
              </w:rPr>
              <w:t xml:space="preserve">Ещё решений: 14, все — на странице кода.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il8knnjponuz01cynk44y">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9018908409</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ympv_ujols2t3rgiuwlfk">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hgpgogae9eqqo6wqzujaa">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01041 — Заключение (разрешительный документ) на ввоз радиоэлектронных средств и высокочастотных устройств гражданского назначения, в том числе встроенных либо входящих в состав других товаров · </w:t>
            </w:r>
            <w:hyperlink w:history="1" r:id="rIdslahfle-vvff-rqcftbdl">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2.16</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ch858xebgmt5d9q_nmihf">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955aoylhr-3vxm7ed8cgx">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wnnroiacu7yypb_ywujlw">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https://imexp.ru/katalog/kod/9018908409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tjpqp2motbzgwx0hkb1b" Type="http://schemas.openxmlformats.org/officeDocument/2006/relationships/hyperlink" Target="https://docs.eaeunion.org/documents/386/6099/" TargetMode="External"/><Relationship Id="rIda2xjlpodh7apgl8yogzdd" Type="http://schemas.openxmlformats.org/officeDocument/2006/relationships/hyperlink" Target="https://docs.eaeunion.org/documents/386/6099/" TargetMode="External"/><Relationship Id="rIdzl5ngx9cdwxf5riiyytw1" Type="http://schemas.openxmlformats.org/officeDocument/2006/relationships/hyperlink" Target="https://eec.eaeunion.org/comission/department/deptexreg/tr/%D0%A2%D0%A0-%D0%A2%D0%A1-032.php" TargetMode="External"/><Relationship Id="rIdcp_f2zqxesul83j9cpi2l" Type="http://schemas.openxmlformats.org/officeDocument/2006/relationships/hyperlink" Target="http://publication.pravo.gov.ru/document/0001202203140039" TargetMode="External"/><Relationship Id="rIdeadigdclxzwwulvasbeiw" Type="http://schemas.openxmlformats.org/officeDocument/2006/relationships/hyperlink" Target="http://publication.pravo.gov.ru/document/0001202410080008" TargetMode="External"/><Relationship Id="rIds19qtyrv-uxsgyxyefjzr" Type="http://schemas.openxmlformats.org/officeDocument/2006/relationships/hyperlink" Target="https://docs.eaeunion.org/documents/335/4666/" TargetMode="External"/><Relationship Id="rId07kr7wrawubpqph30xwel" Type="http://schemas.openxmlformats.org/officeDocument/2006/relationships/hyperlink" Target="https://docs.eaeunion.org/documents/292/1553/" TargetMode="External"/><Relationship Id="rIditt2kaoluso0l_7rvwyln" Type="http://schemas.openxmlformats.org/officeDocument/2006/relationships/hyperlink" Target="http://publication.pravo.gov.ru/document/0001202308040119" TargetMode="External"/><Relationship Id="rIdhbxblss9r9wlkvhpgejy0" Type="http://schemas.openxmlformats.org/officeDocument/2006/relationships/hyperlink" Target="https://www.ecfr.gov/current/title-15/subtitle-B/chapter-VII/subchapter-C/part-746" TargetMode="External"/><Relationship Id="rIdokfptgqxgv_mffjpagea5" Type="http://schemas.openxmlformats.org/officeDocument/2006/relationships/hyperlink" Target="http://publication.pravo.gov.ru/document/0001202308040119" TargetMode="External"/><Relationship Id="rIddljpfnpya1ee7ljsb9pfa" Type="http://schemas.openxmlformats.org/officeDocument/2006/relationships/hyperlink" Target="https://docs.eaeunion.org/documents/386/6099/" TargetMode="External"/><Relationship Id="rIdg8hgrnyjk0i5jdcfcuacb" Type="http://schemas.openxmlformats.org/officeDocument/2006/relationships/hyperlink" Target="https://docs.eaeunion.org/documents/317/2804/" TargetMode="External"/><Relationship Id="rId_az2q_jtlxlkpivdouo8g" Type="http://schemas.openxmlformats.org/officeDocument/2006/relationships/hyperlink" Target="http://publication.pravo.gov.ru/document/0001201510050001" TargetMode="External"/><Relationship Id="rIdm3g_n8rlv6vxs2qjsm8te" Type="http://schemas.openxmlformats.org/officeDocument/2006/relationships/hyperlink" Target="http://publication.pravo.gov.ru/document/0001202411290098" TargetMode="External"/><Relationship Id="rId2oepyafod1q-zmihzkfbk" Type="http://schemas.openxmlformats.org/officeDocument/2006/relationships/hyperlink" Target="https://docs.eaeunion.org/documents/292/1553/" TargetMode="External"/><Relationship Id="rIdnkfgg8gauyscyuu8qtp6v" Type="http://schemas.openxmlformats.org/officeDocument/2006/relationships/hyperlink" Target="http://publication.pravo.gov.ru/document/0001201805040007" TargetMode="External"/><Relationship Id="rId3kf9lmmukyllap4jsfquc" Type="http://schemas.openxmlformats.org/officeDocument/2006/relationships/hyperlink" Target="https://eec.eaeunion.org/comission/department/deptexreg/tr/%D0%A2%D0%A0-%D0%A2%D0%A1-032.php" TargetMode="External"/><Relationship Id="rIdzxrpfu1ql6n_unfovgfvg" Type="http://schemas.openxmlformats.org/officeDocument/2006/relationships/hyperlink" Target="https://eec.eaeunion.org/comission/department/deptexreg/tr/EMS.php" TargetMode="External"/><Relationship Id="rIdltbc0okjm_j8tynzs4jdf" Type="http://schemas.openxmlformats.org/officeDocument/2006/relationships/hyperlink" Target="https://eec.eaeunion.org/comission/department/deptexreg/tr/Down_Volt.php" TargetMode="External"/><Relationship Id="rIda5sgapwc9zpygtxnmkggz" Type="http://schemas.openxmlformats.org/officeDocument/2006/relationships/hyperlink" Target="https://eec.eaeunion.org/comission/department/deptexreg/tr/TR_EEU_037.php" TargetMode="External"/><Relationship Id="rIdqgev8hab5kmv-ys-bm4q4" Type="http://schemas.openxmlformats.org/officeDocument/2006/relationships/hyperlink" Target="https://docs.eaeunion.org/documents/335/4666/" TargetMode="External"/><Relationship Id="rIdppyllnuluvenyslak1ln4" Type="http://schemas.openxmlformats.org/officeDocument/2006/relationships/hyperlink" Target="http://publication.pravo.gov.ru/document/0001202207190026" TargetMode="External"/><Relationship Id="rIday5-5gl3g5yvm8ttyyn7d" Type="http://schemas.openxmlformats.org/officeDocument/2006/relationships/hyperlink" Target="https://docs.eaeunion.org/documents/429/8234/" TargetMode="External"/><Relationship Id="rIdqb-kmvrkebhbqrjounfn8" Type="http://schemas.openxmlformats.org/officeDocument/2006/relationships/hyperlink" Target="https://docs.eaeunion.org/documents/399/6764/" TargetMode="External"/><Relationship Id="rId7s8crdn_rwzsce0m5klm_" Type="http://schemas.openxmlformats.org/officeDocument/2006/relationships/hyperlink" Target="https://docs.eaeunion.org/documents/315/2775/" TargetMode="External"/><Relationship Id="rIdil8knnjponuz01cynk44y" Type="http://schemas.openxmlformats.org/officeDocument/2006/relationships/hyperlink" Target="https://docs.eaeunion.org/documents/253/3575/" TargetMode="External"/><Relationship Id="rIdympv_ujols2t3rgiuwlfk" Type="http://schemas.openxmlformats.org/officeDocument/2006/relationships/hyperlink" Target="https://eec.eaeunion.org/comission/department/deptexreg/tr/%D0%A2%D0%A0-%D0%A2%D0%A1-032.php" TargetMode="External"/><Relationship Id="rIdhgpgogae9eqqo6wqzujaa" Type="http://schemas.openxmlformats.org/officeDocument/2006/relationships/hyperlink" Target="https://eec.eaeunion.org/comission/department/deptexreg/tr/%D0%A2%D0%A0-%D0%A2%D0%A1-032.php" TargetMode="External"/><Relationship Id="rIdslahfle-vvff-rqcftbdl" Type="http://schemas.openxmlformats.org/officeDocument/2006/relationships/hyperlink" Target="https://docs.eaeunion.org/documents/292/1553/" TargetMode="External"/><Relationship Id="rIdch858xebgmt5d9q_nmihf" Type="http://schemas.openxmlformats.org/officeDocument/2006/relationships/hyperlink" Target="https://docs.eaeunion.org/documents/214/946/" TargetMode="External"/><Relationship Id="rId955aoylhr-3vxm7ed8cgx" Type="http://schemas.openxmlformats.org/officeDocument/2006/relationships/hyperlink" Target="https://docs.eaeunion.org/documents/208/8939/" TargetMode="External"/><Relationship Id="rIdwnnroiacu7yypb_ywujlw" Type="http://schemas.openxmlformats.org/officeDocument/2006/relationships/hyperlink" Target="https://docs.eaeunion.org/documents/447/9823/" TargetMode="External"/><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9018 90 840 9</dc:title>
  <dc:creator>IMEXP</dc:creator>
  <cp:lastModifiedBy>Un-named</cp:lastModifiedBy>
  <cp:revision>1</cp:revision>
  <dcterms:created xsi:type="dcterms:W3CDTF">2026-10-31T15:52:03.068Z</dcterms:created>
  <dcterms:modified xsi:type="dcterms:W3CDTF">2026-10-31T15:52:03.068Z</dcterms:modified>
</cp:coreProperties>
</file>

<file path=docProps/custom.xml><?xml version="1.0" encoding="utf-8"?>
<Properties xmlns="http://schemas.openxmlformats.org/officeDocument/2006/custom-properties" xmlns:vt="http://schemas.openxmlformats.org/officeDocument/2006/docPropsVTypes"/>
</file>