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9026 20 200 0</w:t>
      </w:r>
    </w:p>
    <w:p>
      <w:pPr>
        <w:spacing w:after="200"/>
      </w:pPr>
      <w:r>
        <w:rPr>
          <w:rFonts w:ascii="Arial" w:cs="Arial" w:eastAsia="Arial" w:hAnsi="Arial"/>
          <w:color w:val="5B6472"/>
          <w:sz w:val="19"/>
          <w:szCs w:val="19"/>
        </w:rPr>
        <w:t xml:space="preserve">Сведения на 03.11.2026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XVIII. Инструменты и аппараты оптические, фотографические, кинематографические, измерительные, контрольные, прецизионные, медицинские или хирургические; часы всех видов; музыкальные инструменты; их части и принадлежности</w:t>
            </w:r>
          </w:p>
          <w:p>
            <w:pPr>
              <w:spacing w:after="60"/>
            </w:pPr>
            <w:r>
              <w:rPr>
                <w:rFonts w:ascii="Arial" w:cs="Arial" w:eastAsia="Arial" w:hAnsi="Arial"/>
                <w:color w:val="5B6472"/>
                <w:sz w:val="17"/>
                <w:szCs w:val="17"/>
              </w:rPr>
              <w:t xml:space="preserve">90 — ИНСТРУМЕНТЫ И АППАРАТЫ ОПТИЧЕСКИЕ, ФОТОГРАФИЧЕСКИЕ, КИНЕМАТОГРАФИЧЕСКИЕ, ИЗМЕРИТЕЛЬНЫЕ, КОНТРОЛЬНЫЕ, ПРЕЦИЗИОННЫЕ, МЕДИЦИНСКИЕ ИЛИ ХИРУРГИЧЕСКИЕ; ИХ ЧАСТИ И ПРИНАДЛЕЖНОСТИ</w:t>
            </w:r>
          </w:p>
          <w:p>
            <w:pPr>
              <w:spacing w:after="60"/>
            </w:pPr>
            <w:r>
              <w:rPr>
                <w:rFonts w:ascii="Arial" w:cs="Arial" w:eastAsia="Arial" w:hAnsi="Arial"/>
                <w:color w:val="5B6472"/>
                <w:sz w:val="17"/>
                <w:szCs w:val="17"/>
              </w:rPr>
              <w:t xml:space="preserve">9026 — Приборы и аппаратура для измерения или контроля расхода, уровня, давления или других переменных характеристик жидкостей или газов (например, расходомеры, указатели уровня, манометры, тепломеры), кроме приборов и аппаратуры товарной позиции 9014, 9015, 9028 или 9032</w:t>
            </w:r>
          </w:p>
          <w:p>
            <w:pPr>
              <w:spacing w:after="60"/>
            </w:pPr>
            <w:r>
              <w:rPr>
                <w:rFonts w:ascii="Arial" w:cs="Arial" w:eastAsia="Arial" w:hAnsi="Arial"/>
                <w:color w:val="5B6472"/>
                <w:sz w:val="17"/>
                <w:szCs w:val="17"/>
              </w:rPr>
              <w:t xml:space="preserve">9026 20 — Для измерения или контроля давления</w:t>
            </w:r>
          </w:p>
          <w:p>
            <w:pPr>
              <w:spacing w:after="60"/>
            </w:pPr>
            <w:r>
              <w:rPr>
                <w:rFonts w:ascii="Arial" w:cs="Arial" w:eastAsia="Arial" w:hAnsi="Arial"/>
                <w:color w:val="5B6472"/>
                <w:sz w:val="17"/>
                <w:szCs w:val="17"/>
              </w:rPr>
              <w:t xml:space="preserve">9026 20 20 — Для измерения или контроля давления: электронные</w:t>
            </w:r>
          </w:p>
          <w:p>
            <w:pPr>
              <w:spacing w:after="60"/>
            </w:pPr>
            <w:r>
              <w:rPr>
                <w:rFonts w:ascii="Arial" w:cs="Arial" w:eastAsia="Arial" w:hAnsi="Arial"/>
                <w:b/>
                <w:bCs/>
                <w:sz w:val="19"/>
                <w:szCs w:val="19"/>
              </w:rPr>
              <w:t xml:space="preserve">9026 20 200 0 — Для измерения или контроля давления: электронные</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zforigilonqhciwrt0dju">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шт</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i_7rcs1bi7g7tv3rtaorq">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Декларация о соответствии или Сертификат соответствия — </w:t>
            </w:r>
            <w:hyperlink w:history="1" r:id="rId9dtgntppn0c9q6ouzral6">
              <w:r>
                <w:rPr>
                  <w:rFonts w:ascii="Arial" w:cs="Arial" w:eastAsia="Arial" w:hAnsi="Arial"/>
                  <w:color w:val="1F5FBF"/>
                  <w:sz w:val="19"/>
                  <w:szCs w:val="19"/>
                  <w:u w:val="single"/>
                </w:rPr>
                <w:t xml:space="preserve">ТР ТС 032/2013</w:t>
              </w:r>
            </w:hyperlink>
          </w:p>
          <w:p>
            <w:pPr>
              <w:spacing w:after="60"/>
              <w:ind w:left="220" w:hanging="160"/>
            </w:pPr>
            <w:r>
              <w:rPr>
                <w:rFonts w:ascii="Arial" w:cs="Arial" w:eastAsia="Arial" w:hAnsi="Arial"/>
                <w:sz w:val="19"/>
                <w:szCs w:val="19"/>
              </w:rPr>
              <w:t xml:space="preserve">• Сертификат соответствия — Постановление № 2425 (касается части товаров кода)</w:t>
            </w:r>
          </w:p>
          <w:p>
            <w:pPr>
              <w:spacing w:after="60"/>
              <w:ind w:left="220" w:hanging="160"/>
            </w:pPr>
            <w:r>
              <w:rPr>
                <w:rFonts w:ascii="Arial" w:cs="Arial" w:eastAsia="Arial" w:hAnsi="Arial"/>
                <w:sz w:val="19"/>
                <w:szCs w:val="19"/>
              </w:rPr>
              <w:t xml:space="preserve">• Сертификат соответствия — </w:t>
            </w:r>
            <w:hyperlink w:history="1" r:id="rIdzeubrcfchwpvlurjzp6gr">
              <w:r>
                <w:rPr>
                  <w:rFonts w:ascii="Arial" w:cs="Arial" w:eastAsia="Arial" w:hAnsi="Arial"/>
                  <w:color w:val="1F5FBF"/>
                  <w:sz w:val="19"/>
                  <w:szCs w:val="19"/>
                  <w:u w:val="single"/>
                </w:rPr>
                <w:t xml:space="preserve">ТР ТС 010/2011</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Сертификат соответствия или Декларация о соответствии — </w:t>
            </w:r>
            <w:hyperlink w:history="1" r:id="rIdkz-1fruzo-_uda_jscdvn">
              <w:r>
                <w:rPr>
                  <w:rFonts w:ascii="Arial" w:cs="Arial" w:eastAsia="Arial" w:hAnsi="Arial"/>
                  <w:color w:val="1F5FBF"/>
                  <w:sz w:val="19"/>
                  <w:szCs w:val="19"/>
                  <w:u w:val="single"/>
                </w:rPr>
                <w:t xml:space="preserve">ТР ТС 018/2011</w:t>
              </w:r>
            </w:hyperlink>
          </w:p>
          <w:p>
            <w:pPr>
              <w:spacing w:after="60"/>
              <w:ind w:left="220" w:hanging="160"/>
            </w:pPr>
            <w:r>
              <w:rPr>
                <w:rFonts w:ascii="Arial" w:cs="Arial" w:eastAsia="Arial" w:hAnsi="Arial"/>
                <w:sz w:val="19"/>
                <w:szCs w:val="19"/>
              </w:rPr>
              <w:t xml:space="preserve">• Сертификат соответствия — </w:t>
            </w:r>
            <w:hyperlink w:history="1" r:id="rIdhzxyfw1tf36a68fwsqwlz">
              <w:r>
                <w:rPr>
                  <w:rFonts w:ascii="Arial" w:cs="Arial" w:eastAsia="Arial" w:hAnsi="Arial"/>
                  <w:color w:val="1F5FBF"/>
                  <w:sz w:val="19"/>
                  <w:szCs w:val="19"/>
                  <w:u w:val="single"/>
                </w:rPr>
                <w:t xml:space="preserve">ТР ЕАЭС 043/2017</w:t>
              </w:r>
            </w:hyperlink>
          </w:p>
          <w:p>
            <w:pPr>
              <w:spacing w:after="60"/>
              <w:ind w:left="220" w:hanging="160"/>
            </w:pPr>
            <w:r>
              <w:rPr>
                <w:rFonts w:ascii="Arial" w:cs="Arial" w:eastAsia="Arial" w:hAnsi="Arial"/>
                <w:sz w:val="19"/>
                <w:szCs w:val="19"/>
              </w:rPr>
              <w:t xml:space="preserve">• Сертификат соответствия — </w:t>
            </w:r>
            <w:hyperlink w:history="1" r:id="rId-buwub6_ulrdmggschmft">
              <w:r>
                <w:rPr>
                  <w:rFonts w:ascii="Arial" w:cs="Arial" w:eastAsia="Arial" w:hAnsi="Arial"/>
                  <w:color w:val="1F5FBF"/>
                  <w:sz w:val="19"/>
                  <w:szCs w:val="19"/>
                  <w:u w:val="single"/>
                </w:rPr>
                <w:t xml:space="preserve">ТР ТС 031/2012</w:t>
              </w:r>
            </w:hyperlink>
          </w:p>
          <w:p>
            <w:pPr>
              <w:spacing w:after="60"/>
              <w:ind w:left="220" w:hanging="160"/>
            </w:pPr>
            <w:r>
              <w:rPr>
                <w:rFonts w:ascii="Arial" w:cs="Arial" w:eastAsia="Arial" w:hAnsi="Arial"/>
                <w:sz w:val="19"/>
                <w:szCs w:val="19"/>
              </w:rPr>
              <w:t xml:space="preserve">• Сертификат соответствия — </w:t>
            </w:r>
            <w:hyperlink w:history="1" r:id="rId1ksqkrb8bzrnjollomksj">
              <w:r>
                <w:rPr>
                  <w:rFonts w:ascii="Arial" w:cs="Arial" w:eastAsia="Arial" w:hAnsi="Arial"/>
                  <w:color w:val="1F5FBF"/>
                  <w:sz w:val="19"/>
                  <w:szCs w:val="19"/>
                  <w:u w:val="single"/>
                </w:rPr>
                <w:t xml:space="preserve">ТР ЕАЭС 050/2021</w:t>
              </w:r>
            </w:hyperlink>
          </w:p>
          <w:p>
            <w:pPr>
              <w:spacing w:after="60"/>
              <w:ind w:left="220" w:hanging="160"/>
            </w:pPr>
            <w:r>
              <w:rPr>
                <w:rFonts w:ascii="Arial" w:cs="Arial" w:eastAsia="Arial" w:hAnsi="Arial"/>
                <w:sz w:val="19"/>
                <w:szCs w:val="19"/>
              </w:rPr>
              <w:t xml:space="preserve">• Декларация на собственных доказательствах (вместо сертификата) — </w:t>
            </w:r>
            <w:hyperlink w:history="1" r:id="rIdihnb0bd0njcrb3c2xh8vp">
              <w:r>
                <w:rPr>
                  <w:rFonts w:ascii="Arial" w:cs="Arial" w:eastAsia="Arial" w:hAnsi="Arial"/>
                  <w:color w:val="1F5FBF"/>
                  <w:sz w:val="19"/>
                  <w:szCs w:val="19"/>
                  <w:u w:val="single"/>
                </w:rPr>
                <w:t xml:space="preserve">Постановление Правительства РФ № 353</w:t>
              </w:r>
            </w:hyperlink>
            <w:r>
              <w:rPr>
                <w:rFonts w:ascii="Arial" w:cs="Arial" w:eastAsia="Arial" w:hAnsi="Arial"/>
                <w:sz w:val="19"/>
                <w:szCs w:val="19"/>
              </w:rPr>
              <w:t xml:space="preserve">, приложение № 18, пункт 6 (до 01.09.2027, если товара нет в </w:t>
            </w:r>
            <w:hyperlink w:history="1" r:id="rIdnddlzilyytavas_9xyrhx">
              <w:r>
                <w:rPr>
                  <w:rFonts w:ascii="Arial" w:cs="Arial" w:eastAsia="Arial" w:hAnsi="Arial"/>
                  <w:color w:val="1F5FBF"/>
                  <w:sz w:val="19"/>
                  <w:szCs w:val="19"/>
                  <w:u w:val="single"/>
                </w:rPr>
                <w:t xml:space="preserve">приказе Минпромторга № 4114</w:t>
              </w:r>
            </w:hyperlink>
            <w:r>
              <w:rPr>
                <w:rFonts w:ascii="Arial" w:cs="Arial" w:eastAsia="Arial" w:hAnsi="Arial"/>
                <w:sz w:val="19"/>
                <w:szCs w:val="19"/>
              </w:rPr>
              <w:t xml:space="preserve">: код в приказе назван, и решает наименование)</w:t>
            </w:r>
          </w:p>
          <w:p>
            <w:pPr>
              <w:spacing w:after="60"/>
              <w:ind w:left="220" w:hanging="160"/>
            </w:pPr>
            <w:r>
              <w:rPr>
                <w:rFonts w:ascii="Arial" w:cs="Arial" w:eastAsia="Arial" w:hAnsi="Arial"/>
                <w:sz w:val="19"/>
                <w:szCs w:val="19"/>
              </w:rPr>
              <w:t xml:space="preserve">• Санитарно-эпидемиологический надзор — </w:t>
            </w:r>
            <w:hyperlink w:history="1" r:id="rIdufm5a_4kg1khwmgyhpco9">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8fbnsxqq-p8mkkqfs95cp">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пункты 412 и 427 (только для товарных знаков из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ЕС: </w:t>
            </w:r>
            <w:hyperlink w:history="1" r:id="rIdhriuso7ll9wad7q2fnl-q">
              <w:r>
                <w:rPr>
                  <w:rFonts w:ascii="Arial" w:cs="Arial" w:eastAsia="Arial" w:hAnsi="Arial"/>
                  <w:color w:val="1F5FBF"/>
                  <w:sz w:val="19"/>
                  <w:szCs w:val="19"/>
                  <w:u w:val="single"/>
                </w:rPr>
                <w:t xml:space="preserve">Регламент Совета ЕС № 833/2014</w:t>
              </w:r>
            </w:hyperlink>
            <w:r>
              <w:rPr>
                <w:rFonts w:ascii="Arial" w:cs="Arial" w:eastAsia="Arial" w:hAnsi="Arial"/>
                <w:sz w:val="19"/>
                <w:szCs w:val="19"/>
              </w:rPr>
              <w:t xml:space="preserve">, приложение XI (авиация и космос); Регламент Совета ЕС № 833/2014, приложение XXIII (промышленные товары)</w:t>
            </w:r>
          </w:p>
          <w:p>
            <w:pPr>
              <w:spacing w:after="60"/>
              <w:ind w:left="220" w:hanging="160"/>
            </w:pPr>
            <w:r>
              <w:rPr>
                <w:rFonts w:ascii="Arial" w:cs="Arial" w:eastAsia="Arial" w:hAnsi="Arial"/>
                <w:sz w:val="19"/>
                <w:szCs w:val="19"/>
              </w:rPr>
              <w:t xml:space="preserve">• Великобритания: </w:t>
            </w:r>
            <w:hyperlink w:history="1" r:id="rIdtzi_sudwcm3jdqiacxqyf">
              <w:r>
                <w:rPr>
                  <w:rFonts w:ascii="Arial" w:cs="Arial" w:eastAsia="Arial" w:hAnsi="Arial"/>
                  <w:color w:val="1F5FBF"/>
                  <w:sz w:val="19"/>
                  <w:szCs w:val="19"/>
                  <w:u w:val="single"/>
                </w:rPr>
                <w:t xml:space="preserve">Регламент Великобритании о санкциях против России 2019 года</w:t>
              </w:r>
            </w:hyperlink>
            <w:r>
              <w:rPr>
                <w:rFonts w:ascii="Arial" w:cs="Arial" w:eastAsia="Arial" w:hAnsi="Arial"/>
                <w:sz w:val="19"/>
                <w:szCs w:val="19"/>
              </w:rPr>
              <w:t xml:space="preserve">, приложение 3I (уязвимые товары России)</w:t>
            </w:r>
          </w:p>
          <w:p>
            <w:pPr>
              <w:spacing w:after="60"/>
              <w:ind w:left="220" w:hanging="160"/>
            </w:pPr>
            <w:r>
              <w:rPr>
                <w:rFonts w:ascii="Arial" w:cs="Arial" w:eastAsia="Arial" w:hAnsi="Arial"/>
                <w:sz w:val="19"/>
                <w:szCs w:val="19"/>
              </w:rPr>
              <w:t xml:space="preserve">• США: </w:t>
            </w:r>
            <w:hyperlink w:history="1" r:id="rIdcb4osegoy8ylm7cmz9hfx">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qxshzadogn5vk9g-odqol">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412 (90): ACURA, ALFA ROMEO, AUDI, BALLUFF, BENTLEY, BMW, CADILLAC, CHEVROLET, CHRYSLER, DAEWOO, DAIHATSU, DATSUN, DODGE, FERRARI, FIAT, GENERAL MOTORS (GM), GMC, HEIDENHAIN, HONDA, HUMMER, HYUNDAI, INFINITI, JAGUAR, JEEP, LAND ROVER, LEXUS, LINCOLN, KIA, MASERATI,…</w:t>
            </w:r>
          </w:p>
          <w:p>
            <w:pPr>
              <w:spacing w:after="60"/>
              <w:ind w:left="220" w:hanging="160"/>
            </w:pPr>
            <w:r>
              <w:rPr>
                <w:rFonts w:ascii="Arial" w:cs="Arial" w:eastAsia="Arial" w:hAnsi="Arial"/>
                <w:sz w:val="19"/>
                <w:szCs w:val="19"/>
              </w:rPr>
              <w:t xml:space="preserve">• Пункт 427 (9026): A&amp;D, ABB, ADDITEL, ADZ NAGANO, AIC, ALFA LAVAL, ASHCROFT, Ate, ATEX, AQUAMETRO, B.Well, BECOOL, BEDIA, BELIMO, BOMAG, CARLO GAVAZZI, CATERPILLAR, CJC, Conteg, DAEYANG, DANFOSS, DELTA ELECTRONICS, DONALDSON, DRUCK, EagleBurgmann, ELMEASURE, EMERSON,…</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0%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bhmb3dtwhtv8zomcv6w9i">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74xincrr4epkmmpzmxf4y">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73 860 ₽ за декларацию: код в перечне радиоэлектроники с отдельной ставкой сбора.</w:t>
            </w:r>
          </w:p>
          <w:p>
            <w:pPr>
              <w:spacing w:after="60"/>
            </w:pPr>
            <w:hyperlink w:history="1" r:id="rIdlaholvrhpmzur3yndngqd">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zxm0s-xp7gjezy0cbor1d">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hyperlink w:history="1" r:id="rIdh9w2tabuqvte7rhhhb70z">
              <w:r>
                <w:rPr>
                  <w:rFonts w:ascii="Arial" w:cs="Arial" w:eastAsia="Arial" w:hAnsi="Arial"/>
                  <w:b/>
                  <w:bCs/>
                  <w:color w:val="1F5FBF"/>
                  <w:sz w:val="19"/>
                  <w:szCs w:val="19"/>
                  <w:u w:val="single"/>
                </w:rPr>
                <w:t xml:space="preserve">ТР ТС 032/2013</w:t>
              </w:r>
            </w:hyperlink>
            <w:r>
              <w:rPr>
                <w:rFonts w:ascii="Arial" w:cs="Arial" w:eastAsia="Arial" w:hAnsi="Arial"/>
                <w:b/>
                <w:bCs/>
                <w:sz w:val="19"/>
                <w:szCs w:val="19"/>
              </w:rPr>
              <w:t xml:space="preserve"> «О безопасности оборудования, работающего под избыточным давлением»</w:t>
            </w:r>
          </w:p>
          <w:p>
            <w:pPr>
              <w:spacing w:after="60"/>
              <w:ind w:left="220" w:hanging="160"/>
            </w:pPr>
            <w:r>
              <w:rPr>
                <w:rFonts w:ascii="Arial" w:cs="Arial" w:eastAsia="Arial" w:hAnsi="Arial"/>
                <w:sz w:val="19"/>
                <w:szCs w:val="19"/>
              </w:rPr>
              <w:t xml:space="preserve">• декларация о соответствии или сертификат соответствия: Начало действия редакции - 03.04.2022 г. 12. Показывающие и предохранительные устройства (предназначенные для применения в составе указанного в пунктах 1 – 9 и 13 настоящего перечня оборудования, работающего под избыточным давлением), за исключением устройств, отнесенных к средствам измерений См.…</w:t>
            </w:r>
          </w:p>
          <w:p>
            <w:pPr>
              <w:spacing w:after="60"/>
              <w:ind w:left="220" w:hanging="160"/>
            </w:pPr>
            <w:r>
              <w:rPr>
                <w:rFonts w:ascii="Arial" w:cs="Arial" w:eastAsia="Arial" w:hAnsi="Arial"/>
                <w:sz w:val="19"/>
                <w:szCs w:val="19"/>
              </w:rPr>
              <w:t xml:space="preserve">• декларация о соответствии или сертификат соответствия: Устройства и приборы безопасности (предназначенные для применения в составе указанного в пунктах 1 – 9 и 13 настоящего перечня оборудования, работающего под избыточным давлением)</w:t>
            </w:r>
          </w:p>
          <w:p>
            <w:pPr>
              <w:spacing w:after="60"/>
            </w:pPr>
            <w:r>
              <w:rPr>
                <w:rFonts w:ascii="Arial" w:cs="Arial" w:eastAsia="Arial" w:hAnsi="Arial"/>
                <w:b/>
                <w:bCs/>
                <w:sz w:val="19"/>
                <w:szCs w:val="19"/>
              </w:rPr>
              <w:t xml:space="preserve">Постановление № 2425 «Единый перечень продукции: сертификация и декларирование в РФ»</w:t>
            </w:r>
          </w:p>
          <w:p>
            <w:pPr>
              <w:spacing w:after="60"/>
              <w:ind w:left="220" w:hanging="160"/>
            </w:pPr>
            <w:r>
              <w:rPr>
                <w:rFonts w:ascii="Arial" w:cs="Arial" w:eastAsia="Arial" w:hAnsi="Arial"/>
                <w:sz w:val="19"/>
                <w:szCs w:val="19"/>
              </w:rPr>
              <w:t xml:space="preserve">• сертификат соответствия: Электрооборудование рудничное нормальное (касается части товаров кода)</w:t>
            </w:r>
          </w:p>
          <w:p>
            <w:pPr>
              <w:spacing w:after="60"/>
            </w:pPr>
            <w:hyperlink w:history="1" r:id="rIdoqlgzmcwv37217paow_xs">
              <w:r>
                <w:rPr>
                  <w:rFonts w:ascii="Arial" w:cs="Arial" w:eastAsia="Arial" w:hAnsi="Arial"/>
                  <w:b/>
                  <w:bCs/>
                  <w:color w:val="1F5FBF"/>
                  <w:sz w:val="19"/>
                  <w:szCs w:val="19"/>
                  <w:u w:val="single"/>
                </w:rPr>
                <w:t xml:space="preserve">ТР ТС 010/2011</w:t>
              </w:r>
            </w:hyperlink>
            <w:r>
              <w:rPr>
                <w:rFonts w:ascii="Arial" w:cs="Arial" w:eastAsia="Arial" w:hAnsi="Arial"/>
                <w:b/>
                <w:bCs/>
                <w:sz w:val="19"/>
                <w:szCs w:val="19"/>
              </w:rPr>
              <w:t xml:space="preserve"> «О безопасности машин и оборудования»</w:t>
            </w:r>
          </w:p>
          <w:p>
            <w:pPr>
              <w:spacing w:after="60"/>
              <w:ind w:left="220" w:hanging="160"/>
            </w:pPr>
            <w:r>
              <w:rPr>
                <w:rFonts w:ascii="Arial" w:cs="Arial" w:eastAsia="Arial" w:hAnsi="Arial"/>
                <w:sz w:val="19"/>
                <w:szCs w:val="19"/>
              </w:rPr>
              <w:t xml:space="preserve">• сертификат соответствия: Оборудование гаражное для автотранспортных средств и прицепов (касается части товаров кода)</w:t>
            </w:r>
          </w:p>
          <w:p>
            <w:pPr>
              <w:spacing w:after="60"/>
            </w:pPr>
            <w:hyperlink w:history="1" r:id="rIdgp_9h6pslrrwltmbmigbs">
              <w:r>
                <w:rPr>
                  <w:rFonts w:ascii="Arial" w:cs="Arial" w:eastAsia="Arial" w:hAnsi="Arial"/>
                  <w:b/>
                  <w:bCs/>
                  <w:color w:val="1F5FBF"/>
                  <w:sz w:val="19"/>
                  <w:szCs w:val="19"/>
                  <w:u w:val="single"/>
                </w:rPr>
                <w:t xml:space="preserve">ТР ТС 018/2011</w:t>
              </w:r>
            </w:hyperlink>
            <w:r>
              <w:rPr>
                <w:rFonts w:ascii="Arial" w:cs="Arial" w:eastAsia="Arial" w:hAnsi="Arial"/>
                <w:b/>
                <w:bCs/>
                <w:sz w:val="19"/>
                <w:szCs w:val="19"/>
              </w:rPr>
              <w:t xml:space="preserve"> «О безопасности колесных транспортных средств»</w:t>
            </w:r>
          </w:p>
          <w:p>
            <w:pPr>
              <w:spacing w:after="60"/>
              <w:ind w:left="220" w:hanging="160"/>
            </w:pPr>
            <w:r>
              <w:rPr>
                <w:rFonts w:ascii="Arial" w:cs="Arial" w:eastAsia="Arial" w:hAnsi="Arial"/>
                <w:sz w:val="19"/>
                <w:szCs w:val="19"/>
              </w:rPr>
              <w:t xml:space="preserve">• сертификат соответствия: Оборудование для питания двигателя газообразным топливом (компримированным природным газом - КПГ, сжиженным нефтяным газом - СНГ (или сжиженным углеводородным газом - СУГ), сжиженным природным газом - СПГ, диметиловым эфиром топливным - ДМЭт): баллон газовый; вспомогательное оборудование баллона;…</w:t>
            </w:r>
          </w:p>
          <w:p>
            <w:pPr>
              <w:spacing w:after="60"/>
              <w:ind w:left="220" w:hanging="160"/>
            </w:pPr>
            <w:r>
              <w:rPr>
                <w:rFonts w:ascii="Arial" w:cs="Arial" w:eastAsia="Arial" w:hAnsi="Arial"/>
                <w:sz w:val="19"/>
                <w:szCs w:val="19"/>
              </w:rPr>
              <w:t xml:space="preserve">• сертификат соответствия или декларация о соответствии: Указатели и датчики аварийных состояний</w:t>
            </w:r>
          </w:p>
          <w:p>
            <w:pPr>
              <w:spacing w:after="60"/>
            </w:pPr>
            <w:hyperlink w:history="1" r:id="rIdlj5abfrfs-gyvheed6xqk">
              <w:r>
                <w:rPr>
                  <w:rFonts w:ascii="Arial" w:cs="Arial" w:eastAsia="Arial" w:hAnsi="Arial"/>
                  <w:b/>
                  <w:bCs/>
                  <w:color w:val="1F5FBF"/>
                  <w:sz w:val="19"/>
                  <w:szCs w:val="19"/>
                  <w:u w:val="single"/>
                </w:rPr>
                <w:t xml:space="preserve">ТР ЕАЭС 043/2017</w:t>
              </w:r>
            </w:hyperlink>
            <w:r>
              <w:rPr>
                <w:rFonts w:ascii="Arial" w:cs="Arial" w:eastAsia="Arial" w:hAnsi="Arial"/>
                <w:b/>
                <w:bCs/>
                <w:sz w:val="19"/>
                <w:szCs w:val="19"/>
              </w:rPr>
              <w:t xml:space="preserve"> «О требованиях к средствам обеспечения пожарной безопасности и пожаротушения»</w:t>
            </w:r>
          </w:p>
          <w:p>
            <w:pPr>
              <w:spacing w:after="60"/>
              <w:ind w:left="220" w:hanging="160"/>
            </w:pPr>
            <w:r>
              <w:rPr>
                <w:rFonts w:ascii="Arial" w:cs="Arial" w:eastAsia="Arial" w:hAnsi="Arial"/>
                <w:sz w:val="19"/>
                <w:szCs w:val="19"/>
              </w:rPr>
              <w:t xml:space="preserve">• сертификат соответствия: Установки для проверки аппаратов дыхательных изолирующих пожарных</w:t>
            </w:r>
          </w:p>
          <w:p>
            <w:pPr>
              <w:spacing w:after="60"/>
            </w:pPr>
            <w:hyperlink w:history="1" r:id="rIdkgkmo_eybroymq1wg3flc">
              <w:r>
                <w:rPr>
                  <w:rFonts w:ascii="Arial" w:cs="Arial" w:eastAsia="Arial" w:hAnsi="Arial"/>
                  <w:b/>
                  <w:bCs/>
                  <w:color w:val="1F5FBF"/>
                  <w:sz w:val="19"/>
                  <w:szCs w:val="19"/>
                  <w:u w:val="single"/>
                </w:rPr>
                <w:t xml:space="preserve">ТР ТС 031/2012</w:t>
              </w:r>
            </w:hyperlink>
            <w:r>
              <w:rPr>
                <w:rFonts w:ascii="Arial" w:cs="Arial" w:eastAsia="Arial" w:hAnsi="Arial"/>
                <w:b/>
                <w:bCs/>
                <w:sz w:val="19"/>
                <w:szCs w:val="19"/>
              </w:rPr>
              <w:t xml:space="preserve"> «О безопасности сельскохозяйственных и лесохозяйственных тракторов и прицепов к ним»</w:t>
            </w:r>
          </w:p>
          <w:p>
            <w:pPr>
              <w:spacing w:after="60"/>
              <w:ind w:left="220" w:hanging="160"/>
            </w:pPr>
            <w:r>
              <w:rPr>
                <w:rFonts w:ascii="Arial" w:cs="Arial" w:eastAsia="Arial" w:hAnsi="Arial"/>
                <w:sz w:val="19"/>
                <w:szCs w:val="19"/>
              </w:rPr>
              <w:t xml:space="preserve">• сертификат соответствия: указатель уровня</w:t>
            </w:r>
          </w:p>
          <w:p>
            <w:pPr>
              <w:spacing w:after="60"/>
              <w:ind w:left="220" w:hanging="160"/>
            </w:pPr>
            <w:r>
              <w:rPr>
                <w:rFonts w:ascii="Arial" w:cs="Arial" w:eastAsia="Arial" w:hAnsi="Arial"/>
                <w:sz w:val="19"/>
                <w:szCs w:val="19"/>
              </w:rPr>
              <w:t xml:space="preserve">• сертификат соответствия: датчик давления и температуры</w:t>
            </w:r>
          </w:p>
          <w:p>
            <w:pPr>
              <w:spacing w:after="60"/>
            </w:pPr>
            <w:hyperlink w:history="1" r:id="rIdxq1wqmwio4oaxeebuftpg">
              <w:r>
                <w:rPr>
                  <w:rFonts w:ascii="Arial" w:cs="Arial" w:eastAsia="Arial" w:hAnsi="Arial"/>
                  <w:b/>
                  <w:bCs/>
                  <w:color w:val="1F5FBF"/>
                  <w:sz w:val="19"/>
                  <w:szCs w:val="19"/>
                  <w:u w:val="single"/>
                </w:rPr>
                <w:t xml:space="preserve">ТР ЕАЭС 050/2021</w:t>
              </w:r>
            </w:hyperlink>
            <w:r>
              <w:rPr>
                <w:rFonts w:ascii="Arial" w:cs="Arial" w:eastAsia="Arial" w:hAnsi="Arial"/>
                <w:b/>
                <w:bCs/>
                <w:sz w:val="19"/>
                <w:szCs w:val="19"/>
              </w:rPr>
              <w:t xml:space="preserve"> «О безопасности продукции, предназначенной для гражданской обороны и защиты от чрезвычайных ситуаций природного и техногенного характера»</w:t>
            </w:r>
          </w:p>
          <w:p>
            <w:pPr>
              <w:spacing w:after="60"/>
              <w:ind w:left="220" w:hanging="160"/>
            </w:pPr>
            <w:r>
              <w:rPr>
                <w:rFonts w:ascii="Arial" w:cs="Arial" w:eastAsia="Arial" w:hAnsi="Arial"/>
                <w:sz w:val="19"/>
                <w:szCs w:val="19"/>
              </w:rPr>
              <w:t xml:space="preserve">• сертификат соответствия: Датчики и измерительные средства контроля изменения состояния параметров окружающей среды или отдельных ее компонентов</w:t>
            </w:r>
          </w:p>
          <w:p>
            <w:pPr>
              <w:spacing w:after="60"/>
            </w:pPr>
            <w:r>
              <w:rPr>
                <w:rFonts w:ascii="Arial" w:cs="Arial" w:eastAsia="Arial" w:hAnsi="Arial"/>
                <w:color w:val="5B6472"/>
                <w:sz w:val="17"/>
                <w:szCs w:val="17"/>
              </w:rPr>
              <w:t xml:space="preserve">На практике по субпозиции 9026 20 действует сертификатов: 1477, деклараций: 4713; чаще по </w:t>
            </w:r>
            <w:hyperlink w:history="1" r:id="rIdxmt2bwvn0_naw_majjeds">
              <w:r>
                <w:rPr>
                  <w:rFonts w:ascii="Arial" w:cs="Arial" w:eastAsia="Arial" w:hAnsi="Arial"/>
                  <w:color w:val="1F5FBF"/>
                  <w:sz w:val="17"/>
                  <w:szCs w:val="17"/>
                  <w:u w:val="single"/>
                </w:rPr>
                <w:t xml:space="preserve">ТР ТС 020/2011</w:t>
              </w:r>
            </w:hyperlink>
            <w:r>
              <w:rPr>
                <w:rFonts w:ascii="Arial" w:cs="Arial" w:eastAsia="Arial" w:hAnsi="Arial"/>
                <w:color w:val="5B6472"/>
                <w:sz w:val="17"/>
                <w:szCs w:val="17"/>
              </w:rPr>
              <w:t xml:space="preserve">, </w:t>
            </w:r>
            <w:hyperlink w:history="1" r:id="rIdfqjd-bayqgkq-2wde-z6a">
              <w:r>
                <w:rPr>
                  <w:rFonts w:ascii="Arial" w:cs="Arial" w:eastAsia="Arial" w:hAnsi="Arial"/>
                  <w:color w:val="1F5FBF"/>
                  <w:sz w:val="17"/>
                  <w:szCs w:val="17"/>
                  <w:u w:val="single"/>
                </w:rPr>
                <w:t xml:space="preserve">ТР ТС 004/2011</w:t>
              </w:r>
            </w:hyperlink>
            <w:r>
              <w:rPr>
                <w:rFonts w:ascii="Arial" w:cs="Arial" w:eastAsia="Arial" w:hAnsi="Arial"/>
                <w:color w:val="5B6472"/>
                <w:sz w:val="17"/>
                <w:szCs w:val="17"/>
              </w:rPr>
              <w:t xml:space="preserve">, </w:t>
            </w:r>
            <w:hyperlink w:history="1" r:id="rId3a5wwncwruv-xjue9lwpi">
              <w:r>
                <w:rPr>
                  <w:rFonts w:ascii="Arial" w:cs="Arial" w:eastAsia="Arial" w:hAnsi="Arial"/>
                  <w:color w:val="1F5FBF"/>
                  <w:sz w:val="17"/>
                  <w:szCs w:val="17"/>
                  <w:u w:val="single"/>
                </w:rPr>
                <w:t xml:space="preserve">ТР ТС 018/2011</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Продукция машиностроения и приборостроения производственного, медицинского и бытового назначения, кроме запасных частей к транспортным средствам и бытовой технике (за исключением контактирующих с питьевой водой и пищевыми продуктами); Средства индивидуальной защиты; Иная продукция (товары), в отношении которой одним из государств – членов Евразийского экономического союза введены временные…</w:t>
            </w:r>
          </w:p>
          <w:p>
            <w:pPr>
              <w:spacing w:after="60"/>
            </w:pPr>
            <w:hyperlink w:history="1" r:id="rIdxidioa46wxthzx-nfz8gu">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Постановление № 1286, пункт 3.1.7 (также в разделе «оборудование и его части для разделения изотопов урана»): Все типы датчиков давления, способные измерять абсолютное давление и имеющие все следующие характеристики: 1) чувствительные к давлению элементы, изготовленные из алюминия, сплавов алюминия, оксида алюминия (окиси алюминия (глинозема) или сапфира), никеля, сплавов никеля с содержанием более 60…</w:t>
            </w:r>
          </w:p>
          <w:p>
            <w:pPr>
              <w:spacing w:after="60"/>
              <w:ind w:left="220" w:hanging="160"/>
            </w:pPr>
            <w:r>
              <w:rPr>
                <w:rFonts w:ascii="Arial" w:cs="Arial" w:eastAsia="Arial" w:hAnsi="Arial"/>
                <w:sz w:val="19"/>
                <w:szCs w:val="19"/>
              </w:rPr>
              <w:t xml:space="preserve">• Постановление № 1286, пункт 5.2.4.2 (также в разделе «испытательное и измерительное оборудование для разработки ядерных взрывных устройств»): Датчики ударно-волнового давления, способные измерять давление более 10 ГПа, в том числе датчики, изготовленные с применением манганина, иттербия и поливинилиденфторида (PVDF) или поливинилдифторида (PVF 2 )</w:t>
            </w:r>
          </w:p>
          <w:p>
            <w:pPr>
              <w:spacing w:after="60"/>
              <w:ind w:left="220" w:hanging="160"/>
            </w:pPr>
            <w:r>
              <w:rPr>
                <w:rFonts w:ascii="Arial" w:cs="Arial" w:eastAsia="Arial" w:hAnsi="Arial"/>
                <w:sz w:val="19"/>
                <w:szCs w:val="19"/>
              </w:rPr>
              <w:t xml:space="preserve">• Постановление № 1286, пункт 5.2.4.3 (также в разделе «испытательное и измерительное оборудование для разработки ядерных взрывных устройств»): Кварцевые преобразователи для давления более 10 ГПа</w:t>
            </w:r>
          </w:p>
          <w:p>
            <w:pPr>
              <w:spacing w:after="60"/>
            </w:pPr>
            <w:hyperlink w:history="1" r:id="rIdpi5zeikamxzcarm6padyr">
              <w:r>
                <w:rPr>
                  <w:rFonts w:ascii="Arial" w:cs="Arial" w:eastAsia="Arial" w:hAnsi="Arial"/>
                  <w:color w:val="1F5FBF"/>
                  <w:sz w:val="17"/>
                  <w:szCs w:val="17"/>
                  <w:u w:val="single"/>
                </w:rPr>
                <w:t xml:space="preserve">Постановление Правительства РФ от 16.07.2022 № 1286</w:t>
              </w:r>
            </w:hyperlink>
            <w:r>
              <w:rPr>
                <w:rFonts w:ascii="Arial" w:cs="Arial" w:eastAsia="Arial" w:hAnsi="Arial"/>
                <w:color w:val="5B6472"/>
                <w:sz w:val="17"/>
                <w:szCs w:val="17"/>
              </w:rPr>
              <w:t xml:space="preserve">; вывоз — по лицензии или разрешению (Федеральный закон от 18.07.1999 № 183-ФЗ «Об экспортном контроле»).</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Предварительные решения о классификации, принятые в России (4):</w:t>
            </w:r>
          </w:p>
          <w:p>
            <w:pPr>
              <w:spacing w:after="60"/>
              <w:ind w:left="220" w:hanging="160"/>
            </w:pPr>
            <w:r>
              <w:rPr>
                <w:rFonts w:ascii="Arial" w:cs="Arial" w:eastAsia="Arial" w:hAnsi="Arial"/>
                <w:sz w:val="19"/>
                <w:szCs w:val="19"/>
              </w:rPr>
              <w:t xml:space="preserve">• Рампа измерительная в сборе (далее – Рампа) представляет собой оборудование, предназначенное для замера температуры газов и отрицательного давления в каждом ряду огневых простенков в зоне предварительного нагрева. Данные с установленных на Рампе датчиков…</w:t>
            </w:r>
          </w:p>
          <w:p>
            <w:pPr>
              <w:spacing w:after="60"/>
            </w:pPr>
            <w:r>
              <w:rPr>
                <w:rFonts w:ascii="Arial" w:cs="Arial" w:eastAsia="Arial" w:hAnsi="Arial"/>
                <w:color w:val="5B6472"/>
                <w:sz w:val="17"/>
                <w:szCs w:val="17"/>
              </w:rPr>
              <w:t xml:space="preserve">В соответствии с ОПИ 1, 3 в) и 6</w:t>
            </w:r>
          </w:p>
          <w:p>
            <w:pPr>
              <w:spacing w:after="60"/>
              <w:ind w:left="220" w:hanging="160"/>
            </w:pPr>
            <w:r>
              <w:rPr>
                <w:rFonts w:ascii="Arial" w:cs="Arial" w:eastAsia="Arial" w:hAnsi="Arial"/>
                <w:sz w:val="19"/>
                <w:szCs w:val="19"/>
              </w:rPr>
              <w:t xml:space="preserve">• Электронный прибор для проверки баллонов катетеров на предмет выявления нарушений их герметичности, принцип действия, которого основан на измерениях изменения величины давления, создаваемого внутри испытуемого изделия относительно заданного. Прибор имеет…</w:t>
            </w:r>
          </w:p>
          <w:p>
            <w:pPr>
              <w:spacing w:after="60"/>
            </w:pPr>
            <w:r>
              <w:rPr>
                <w:rFonts w:ascii="Arial" w:cs="Arial" w:eastAsia="Arial" w:hAnsi="Arial"/>
                <w:color w:val="5B6472"/>
                <w:sz w:val="17"/>
                <w:szCs w:val="17"/>
              </w:rPr>
              <w:t xml:space="preserve">В соответствии с ОПИ 1 и 6</w:t>
            </w:r>
          </w:p>
          <w:p>
            <w:pPr>
              <w:spacing w:after="60"/>
              <w:ind w:left="220" w:hanging="160"/>
            </w:pPr>
            <w:r>
              <w:rPr>
                <w:rFonts w:ascii="Arial" w:cs="Arial" w:eastAsia="Arial" w:hAnsi="Arial"/>
                <w:sz w:val="19"/>
                <w:szCs w:val="19"/>
              </w:rPr>
              <w:t xml:space="preserve">• Электронный прибор предназначен для испытаний и проверки герметичности баллонных катетеров посредством измерения изменения величины давления, создаваемого внутри испытуемого изделия, в заданный промежуток времени. Прибор имеет корпус, на передней панели…</w:t>
            </w:r>
          </w:p>
          <w:p>
            <w:pPr>
              <w:spacing w:after="60"/>
            </w:pPr>
            <w:r>
              <w:rPr>
                <w:rFonts w:ascii="Arial" w:cs="Arial" w:eastAsia="Arial" w:hAnsi="Arial"/>
                <w:color w:val="5B6472"/>
                <w:sz w:val="17"/>
                <w:szCs w:val="17"/>
              </w:rPr>
              <w:t xml:space="preserve">В соответствии с ОПИ 1 и 6</w:t>
            </w:r>
          </w:p>
          <w:p>
            <w:pPr>
              <w:spacing w:after="60"/>
              <w:ind w:left="220" w:hanging="160"/>
            </w:pPr>
            <w:r>
              <w:rPr>
                <w:rFonts w:ascii="Arial" w:cs="Arial" w:eastAsia="Arial" w:hAnsi="Arial"/>
                <w:sz w:val="19"/>
                <w:szCs w:val="19"/>
              </w:rPr>
              <w:t xml:space="preserve">• Электронный прибор предназначен для определения утечек и разрывов под действием гидравлического давления в различных продуктах, в том числе в медицинских изделиях, автомобильных компонентах и в пищевой упаковке. Прибор оснащен корпусом, внутри которого…</w:t>
            </w:r>
          </w:p>
          <w:p>
            <w:pPr>
              <w:spacing w:after="60"/>
            </w:pPr>
            <w:r>
              <w:rPr>
                <w:rFonts w:ascii="Arial" w:cs="Arial" w:eastAsia="Arial" w:hAnsi="Arial"/>
                <w:color w:val="5B6472"/>
                <w:sz w:val="17"/>
                <w:szCs w:val="17"/>
              </w:rPr>
              <w:t xml:space="preserve">В соответствии с ОПИ 1 и 6</w:t>
            </w:r>
          </w:p>
          <w:p>
            <w:pPr>
              <w:spacing w:after="60"/>
            </w:pPr>
            <w:r>
              <w:rPr>
                <w:rFonts w:ascii="Arial" w:cs="Arial" w:eastAsia="Arial" w:hAnsi="Arial"/>
                <w:b/>
                <w:bCs/>
                <w:sz w:val="19"/>
                <w:szCs w:val="19"/>
              </w:rPr>
              <w:t xml:space="preserve">Предварительные решения других стран ЕАЭС (2); обязательны только в стране, которая их приняла:</w:t>
            </w:r>
          </w:p>
          <w:p>
            <w:pPr>
              <w:spacing w:after="60"/>
              <w:ind w:left="220" w:hanging="160"/>
            </w:pPr>
            <w:r>
              <w:rPr>
                <w:rFonts w:ascii="Arial" w:cs="Arial" w:eastAsia="Arial" w:hAnsi="Arial"/>
                <w:sz w:val="19"/>
                <w:szCs w:val="19"/>
              </w:rPr>
              <w:t xml:space="preserve">• Беларусь: Товар предназначен для измерения давления и температуры на скважинах при добыче полезных ископаемых с последующей передачей измеренного значения потребителю (на сервер) беспроводным способом с установленной точностью. Товар состоит из:…</w:t>
            </w:r>
          </w:p>
          <w:p>
            <w:pPr>
              <w:spacing w:after="60"/>
            </w:pPr>
            <w:r>
              <w:rPr>
                <w:rFonts w:ascii="Arial" w:cs="Arial" w:eastAsia="Arial" w:hAnsi="Arial"/>
                <w:color w:val="5B6472"/>
                <w:sz w:val="17"/>
                <w:szCs w:val="17"/>
              </w:rPr>
              <w:t xml:space="preserve">Основные правила интерпретации 1, 3б) и 6 ТН ВЭД ЕАЭС.</w:t>
            </w:r>
          </w:p>
          <w:p>
            <w:pPr>
              <w:spacing w:after="60"/>
              <w:ind w:left="220" w:hanging="160"/>
            </w:pPr>
            <w:r>
              <w:rPr>
                <w:rFonts w:ascii="Arial" w:cs="Arial" w:eastAsia="Arial" w:hAnsi="Arial"/>
                <w:sz w:val="19"/>
                <w:szCs w:val="19"/>
              </w:rPr>
              <w:t xml:space="preserve">• Казахстан: Система предназначена для выполнения функций - измерение давления стойки секции механизированной крепи, локальная оптическая сигнализация уровней давления, регистрация и архивирование данных измерений, автоматическое кэширование измерений,…</w:t>
            </w:r>
          </w:p>
          <w:p>
            <w:pPr>
              <w:spacing w:after="60"/>
            </w:pPr>
            <w:r>
              <w:rPr>
                <w:rFonts w:ascii="Arial" w:cs="Arial" w:eastAsia="Arial" w:hAnsi="Arial"/>
                <w:color w:val="5B6472"/>
                <w:sz w:val="17"/>
                <w:szCs w:val="17"/>
              </w:rPr>
              <w:t xml:space="preserve">ОПИ 1 и 6</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декларировать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Можно ввозить в несобранном или разобранном виде несколькими партиями: таможня принимает решение о классификации товара целиком.</w:t>
            </w:r>
          </w:p>
          <w:p>
            <w:pPr>
              <w:spacing w:after="60"/>
            </w:pPr>
            <w:hyperlink w:history="1" r:id="rIdyd1caqzegma19r4oa0dtp">
              <w:r>
                <w:rPr>
                  <w:rFonts w:ascii="Arial" w:cs="Arial" w:eastAsia="Arial" w:hAnsi="Arial"/>
                  <w:color w:val="1F5FBF"/>
                  <w:sz w:val="17"/>
                  <w:szCs w:val="17"/>
                  <w:u w:val="single"/>
                </w:rPr>
                <w:t xml:space="preserve">Решение Коллегии ЕЭК от 03.04.2018 № 45</w:t>
              </w:r>
            </w:hyperlink>
          </w:p>
          <w:p>
            <w:pPr>
              <w:spacing w:after="60"/>
              <w:ind w:left="220" w:hanging="160"/>
            </w:pPr>
            <w:r>
              <w:rPr>
                <w:rFonts w:ascii="Arial" w:cs="Arial" w:eastAsia="Arial" w:hAnsi="Arial"/>
                <w:sz w:val="19"/>
                <w:szCs w:val="19"/>
              </w:rPr>
              <w:t xml:space="preserve">• В графе 31 (приборы и аппаратура для измерения или контроля расхода, уровня, давления или других переменных характеристик жидкостей или газов): идентификационный номер (серийный заводской номер) либо информация об отсутствии такого номера</w:t>
            </w:r>
          </w:p>
          <w:p>
            <w:pPr>
              <w:spacing w:after="60"/>
            </w:pPr>
            <w:hyperlink w:history="1" r:id="rId4takiqwdrewffhtkxt8p9">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перечень сведений к графе 31</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9026202000</w:t>
            </w:r>
          </w:p>
          <w:p>
            <w:pPr>
              <w:spacing w:after="60"/>
              <w:ind w:left="220" w:hanging="160"/>
            </w:pPr>
            <w:r>
              <w:rPr>
                <w:rFonts w:ascii="Arial" w:cs="Arial" w:eastAsia="Arial" w:hAnsi="Arial"/>
                <w:sz w:val="19"/>
                <w:szCs w:val="19"/>
              </w:rPr>
              <w:t xml:space="preserve">• С — во втором подразделе, если товар по характеристикам не подпадает под запреты и ограничения, которые применяются к коду</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01402 — Декларация о соответствии требованиям технического регламента Евразийского экономического союза (Таможенного союза) · </w:t>
            </w:r>
            <w:hyperlink w:history="1" r:id="rId_wczk3sdkklqlhbc_zivh">
              <w:r>
                <w:rPr>
                  <w:rFonts w:ascii="Arial" w:cs="Arial" w:eastAsia="Arial" w:hAnsi="Arial"/>
                  <w:color w:val="1F5FBF"/>
                  <w:sz w:val="19"/>
                  <w:szCs w:val="19"/>
                  <w:u w:val="single"/>
                </w:rPr>
                <w:t xml:space="preserve">ТР ТС 032/2013</w:t>
              </w:r>
            </w:hyperlink>
            <w:r>
              <w:rPr>
                <w:rFonts w:ascii="Arial" w:cs="Arial" w:eastAsia="Arial" w:hAnsi="Arial"/>
                <w:sz w:val="19"/>
                <w:szCs w:val="19"/>
              </w:rPr>
              <w:t xml:space="preserve">; </w:t>
            </w:r>
            <w:hyperlink w:history="1" r:id="rIdi3n73ll-kgvmdydlbosb9">
              <w:r>
                <w:rPr>
                  <w:rFonts w:ascii="Arial" w:cs="Arial" w:eastAsia="Arial" w:hAnsi="Arial"/>
                  <w:color w:val="1F5FBF"/>
                  <w:sz w:val="19"/>
                  <w:szCs w:val="19"/>
                  <w:u w:val="single"/>
                </w:rPr>
                <w:t xml:space="preserve">ТР ТС 018/2011</w:t>
              </w:r>
            </w:hyperlink>
          </w:p>
          <w:p>
            <w:pPr>
              <w:spacing w:after="60"/>
              <w:ind w:left="220" w:hanging="160"/>
            </w:pPr>
            <w:r>
              <w:rPr>
                <w:rFonts w:ascii="Arial" w:cs="Arial" w:eastAsia="Arial" w:hAnsi="Arial"/>
                <w:sz w:val="19"/>
                <w:szCs w:val="19"/>
              </w:rPr>
              <w:t xml:space="preserve">• 01401 — Сертификат соответствия требованиям технического регламента Евразийского экономического союза (Таможенного союза) · </w:t>
            </w:r>
            <w:hyperlink w:history="1" r:id="rIdc_umni6qe3ldqbjpzw8ks">
              <w:r>
                <w:rPr>
                  <w:rFonts w:ascii="Arial" w:cs="Arial" w:eastAsia="Arial" w:hAnsi="Arial"/>
                  <w:color w:val="1F5FBF"/>
                  <w:sz w:val="19"/>
                  <w:szCs w:val="19"/>
                  <w:u w:val="single"/>
                </w:rPr>
                <w:t xml:space="preserve">ТР ТС 032/2013</w:t>
              </w:r>
            </w:hyperlink>
            <w:r>
              <w:rPr>
                <w:rFonts w:ascii="Arial" w:cs="Arial" w:eastAsia="Arial" w:hAnsi="Arial"/>
                <w:sz w:val="19"/>
                <w:szCs w:val="19"/>
              </w:rPr>
              <w:t xml:space="preserve">; </w:t>
            </w:r>
            <w:hyperlink w:history="1" r:id="rIdzepxfq0bxienavhg4usk_">
              <w:r>
                <w:rPr>
                  <w:rFonts w:ascii="Arial" w:cs="Arial" w:eastAsia="Arial" w:hAnsi="Arial"/>
                  <w:color w:val="1F5FBF"/>
                  <w:sz w:val="19"/>
                  <w:szCs w:val="19"/>
                  <w:u w:val="single"/>
                </w:rPr>
                <w:t xml:space="preserve">ТР ТС 010/2011</w:t>
              </w:r>
            </w:hyperlink>
            <w:r>
              <w:rPr>
                <w:rFonts w:ascii="Arial" w:cs="Arial" w:eastAsia="Arial" w:hAnsi="Arial"/>
                <w:sz w:val="19"/>
                <w:szCs w:val="19"/>
              </w:rPr>
              <w:t xml:space="preserve">; </w:t>
            </w:r>
            <w:hyperlink w:history="1" r:id="rIddjnzg6zuzj1ibq1yqcz8p">
              <w:r>
                <w:rPr>
                  <w:rFonts w:ascii="Arial" w:cs="Arial" w:eastAsia="Arial" w:hAnsi="Arial"/>
                  <w:color w:val="1F5FBF"/>
                  <w:sz w:val="19"/>
                  <w:szCs w:val="19"/>
                  <w:u w:val="single"/>
                </w:rPr>
                <w:t xml:space="preserve">ТР ТС 018/2011</w:t>
              </w:r>
            </w:hyperlink>
            <w:r>
              <w:rPr>
                <w:rFonts w:ascii="Arial" w:cs="Arial" w:eastAsia="Arial" w:hAnsi="Arial"/>
                <w:sz w:val="19"/>
                <w:szCs w:val="19"/>
              </w:rPr>
              <w:t xml:space="preserve">; </w:t>
            </w:r>
            <w:hyperlink w:history="1" r:id="rIdhc97pnmzqy0u_o5ylutuc">
              <w:r>
                <w:rPr>
                  <w:rFonts w:ascii="Arial" w:cs="Arial" w:eastAsia="Arial" w:hAnsi="Arial"/>
                  <w:color w:val="1F5FBF"/>
                  <w:sz w:val="19"/>
                  <w:szCs w:val="19"/>
                  <w:u w:val="single"/>
                </w:rPr>
                <w:t xml:space="preserve">ТР ЕАЭС 043/2017</w:t>
              </w:r>
            </w:hyperlink>
            <w:r>
              <w:rPr>
                <w:rFonts w:ascii="Arial" w:cs="Arial" w:eastAsia="Arial" w:hAnsi="Arial"/>
                <w:sz w:val="19"/>
                <w:szCs w:val="19"/>
              </w:rPr>
              <w:t xml:space="preserve">; </w:t>
            </w:r>
            <w:hyperlink w:history="1" r:id="rIdusaczyk6-bmznpnnm4zga">
              <w:r>
                <w:rPr>
                  <w:rFonts w:ascii="Arial" w:cs="Arial" w:eastAsia="Arial" w:hAnsi="Arial"/>
                  <w:color w:val="1F5FBF"/>
                  <w:sz w:val="19"/>
                  <w:szCs w:val="19"/>
                  <w:u w:val="single"/>
                </w:rPr>
                <w:t xml:space="preserve">ТР ТС 031/2012</w:t>
              </w:r>
            </w:hyperlink>
            <w:r>
              <w:rPr>
                <w:rFonts w:ascii="Arial" w:cs="Arial" w:eastAsia="Arial" w:hAnsi="Arial"/>
                <w:sz w:val="19"/>
                <w:szCs w:val="19"/>
              </w:rPr>
              <w:t xml:space="preserve">; </w:t>
            </w:r>
            <w:hyperlink w:history="1" r:id="rId5eetzsonfqjct3fv1a2wi">
              <w:r>
                <w:rPr>
                  <w:rFonts w:ascii="Arial" w:cs="Arial" w:eastAsia="Arial" w:hAnsi="Arial"/>
                  <w:color w:val="1F5FBF"/>
                  <w:sz w:val="19"/>
                  <w:szCs w:val="19"/>
                  <w:u w:val="single"/>
                </w:rPr>
                <w:t xml:space="preserve">ТР ЕАЭС 050/2021</w:t>
              </w:r>
            </w:hyperlink>
          </w:p>
          <w:p>
            <w:pPr>
              <w:spacing w:after="60"/>
              <w:ind w:left="220" w:hanging="160"/>
            </w:pPr>
            <w:r>
              <w:rPr>
                <w:rFonts w:ascii="Arial" w:cs="Arial" w:eastAsia="Arial" w:hAnsi="Arial"/>
                <w:sz w:val="19"/>
                <w:szCs w:val="19"/>
              </w:rPr>
              <w:t xml:space="preserve">• 01408 — Документ об оценке соответствия, предусмотренный законодательством государства – члена Евразийского экономического союза, на территории которого продукция (товар) помещается под таможенные процедуры · Постановление № 2425</w:t>
            </w:r>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l3j9erfaoltzf2acfsawx">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3v_5jzhpovkjrzx-84l1j">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p2jd6h7ctkoamzbjnz_gq">
              <w:r>
                <w:rPr>
                  <w:rFonts w:ascii="Arial" w:cs="Arial" w:eastAsia="Arial" w:hAnsi="Arial"/>
                  <w:color w:val="1F5FBF"/>
                  <w:sz w:val="19"/>
                  <w:szCs w:val="19"/>
                  <w:u w:val="single"/>
                </w:rPr>
                <w:t xml:space="preserve">Решение Коллегии ЕЭК № 1 от 14.01.2025</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Исламской Республики Иран и ввозимых на таможенную территорию Евразийского экономического союза, и о признании… (вступило в силу 15.05.2025)</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Другие решения ЕЭК по коду</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w:t>
            </w:r>
            <w:hyperlink w:history="1" r:id="rIdgk_eku3_er9gd_w3wqr1g">
              <w:r>
                <w:rPr>
                  <w:rFonts w:ascii="Arial" w:cs="Arial" w:eastAsia="Arial" w:hAnsi="Arial"/>
                  <w:color w:val="1F5FBF"/>
                  <w:sz w:val="19"/>
                  <w:szCs w:val="19"/>
                  <w:u w:val="single"/>
                </w:rPr>
                <w:t xml:space="preserve">Решение Совета ЕЭК № 1 от 24.01.2025</w:t>
              </w:r>
            </w:hyperlink>
            <w:r>
              <w:rPr>
                <w:rFonts w:ascii="Arial" w:cs="Arial" w:eastAsia="Arial" w:hAnsi="Arial"/>
                <w:sz w:val="19"/>
                <w:szCs w:val="19"/>
              </w:rPr>
              <w:t xml:space="preserve"> — О внесении изменений в Решение Совета Евразийской экономической комиссии от 23 ноября 2020 г. № 105 (вступило в силу 03.02.2025)</w:t>
            </w:r>
          </w:p>
          <w:p>
            <w:pPr>
              <w:spacing w:after="60"/>
              <w:ind w:left="220" w:hanging="160"/>
            </w:pPr>
            <w:r>
              <w:rPr>
                <w:rFonts w:ascii="Arial" w:cs="Arial" w:eastAsia="Arial" w:hAnsi="Arial"/>
                <w:sz w:val="19"/>
                <w:szCs w:val="19"/>
              </w:rPr>
              <w:t xml:space="preserve">• </w:t>
            </w:r>
            <w:hyperlink w:history="1" r:id="rIdyto4jpqr_lezhod210hq_">
              <w:r>
                <w:rPr>
                  <w:rFonts w:ascii="Arial" w:cs="Arial" w:eastAsia="Arial" w:hAnsi="Arial"/>
                  <w:color w:val="1F5FBF"/>
                  <w:sz w:val="19"/>
                  <w:szCs w:val="19"/>
                  <w:u w:val="single"/>
                </w:rPr>
                <w:t xml:space="preserve">Решение Коллегии ЕЭК № 73 от 25.06.2024</w:t>
              </w:r>
            </w:hyperlink>
            <w:r>
              <w:rPr>
                <w:rFonts w:ascii="Arial" w:cs="Arial" w:eastAsia="Arial" w:hAnsi="Arial"/>
                <w:sz w:val="19"/>
                <w:szCs w:val="19"/>
              </w:rPr>
              <w:t xml:space="preserve"> — О внесении изменений в приложения № 2 и 4 к Порядку заполнения декларации на товары (вступило в силу 28.07.2024)</w:t>
            </w:r>
          </w:p>
          <w:p>
            <w:pPr>
              <w:spacing w:after="60"/>
              <w:ind w:left="220" w:hanging="160"/>
            </w:pPr>
            <w:r>
              <w:rPr>
                <w:rFonts w:ascii="Arial" w:cs="Arial" w:eastAsia="Arial" w:hAnsi="Arial"/>
                <w:sz w:val="19"/>
                <w:szCs w:val="19"/>
              </w:rPr>
              <w:t xml:space="preserve">• </w:t>
            </w:r>
            <w:hyperlink w:history="1" r:id="rIdxm8yx3b7vvfwskdk0c1ck">
              <w:r>
                <w:rPr>
                  <w:rFonts w:ascii="Arial" w:cs="Arial" w:eastAsia="Arial" w:hAnsi="Arial"/>
                  <w:color w:val="1F5FBF"/>
                  <w:sz w:val="19"/>
                  <w:szCs w:val="19"/>
                  <w:u w:val="single"/>
                </w:rPr>
                <w:t xml:space="preserve">Решение Коллегии ЕЭК № 29 от 26.03.2024</w:t>
              </w:r>
            </w:hyperlink>
            <w:r>
              <w:rPr>
                <w:rFonts w:ascii="Arial" w:cs="Arial" w:eastAsia="Arial" w:hAnsi="Arial"/>
                <w:sz w:val="19"/>
                <w:szCs w:val="19"/>
              </w:rPr>
              <w:t xml:space="preserve"> — О перечне продукции, подлежащей обязательной оценке соответствия требованиям технического регламента Евразийского экономического союза «О безопасности продукции, предназначенной для гражданской… (вступило в силу 27.04.2024)</w:t>
            </w:r>
          </w:p>
          <w:p>
            <w:pPr>
              <w:spacing w:after="60"/>
              <w:ind w:left="220" w:hanging="160"/>
            </w:pPr>
            <w:r>
              <w:rPr>
                <w:rFonts w:ascii="Arial" w:cs="Arial" w:eastAsia="Arial" w:hAnsi="Arial"/>
                <w:sz w:val="19"/>
                <w:szCs w:val="19"/>
              </w:rPr>
              <w:t xml:space="preserve">• </w:t>
            </w:r>
            <w:hyperlink w:history="1" r:id="rId-fgzeueyzcfz4pzkqico_">
              <w:r>
                <w:rPr>
                  <w:rFonts w:ascii="Arial" w:cs="Arial" w:eastAsia="Arial" w:hAnsi="Arial"/>
                  <w:color w:val="1F5FBF"/>
                  <w:sz w:val="19"/>
                  <w:szCs w:val="19"/>
                  <w:u w:val="single"/>
                </w:rPr>
                <w:t xml:space="preserve">Решение Коллегии ЕЭК № 30 от 21.03.2017</w:t>
              </w:r>
            </w:hyperlink>
            <w:r>
              <w:rPr>
                <w:rFonts w:ascii="Arial" w:cs="Arial" w:eastAsia="Arial" w:hAnsi="Arial"/>
                <w:sz w:val="19"/>
                <w:szCs w:val="19"/>
              </w:rPr>
              <w:t xml:space="preserve"> — О внесении изменений в некоторые решения Коллегии Евразийской экономической комиссии (вступило в силу 22.04.2017)</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Ключей для этого кода в таблице Минэкономразвития нет.</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https://imexp.ru/katalog/kod/9026202000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zforigilonqhciwrt0dju" Type="http://schemas.openxmlformats.org/officeDocument/2006/relationships/hyperlink" Target="https://docs.eaeunion.org/documents/386/6099/" TargetMode="External"/><Relationship Id="rIdi_7rcs1bi7g7tv3rtaorq" Type="http://schemas.openxmlformats.org/officeDocument/2006/relationships/hyperlink" Target="https://docs.eaeunion.org/documents/386/6099/" TargetMode="External"/><Relationship Id="rId9dtgntppn0c9q6ouzral6" Type="http://schemas.openxmlformats.org/officeDocument/2006/relationships/hyperlink" Target="https://eec.eaeunion.org/comission/department/deptexreg/tr/%D0%A2%D0%A0-%D0%A2%D0%A1-032.php" TargetMode="External"/><Relationship Id="rIdzeubrcfchwpvlurjzp6gr" Type="http://schemas.openxmlformats.org/officeDocument/2006/relationships/hyperlink" Target="https://eec.eaeunion.org/comission/department/deptexreg/tr/bezopMashines.php" TargetMode="External"/><Relationship Id="rIdkz-1fruzo-_uda_jscdvn" Type="http://schemas.openxmlformats.org/officeDocument/2006/relationships/hyperlink" Target="https://eec.eaeunion.org/comission/department/deptexreg/tr/bezopKolesnTrS.php" TargetMode="External"/><Relationship Id="rIdhzxyfw1tf36a68fwsqwlz" Type="http://schemas.openxmlformats.org/officeDocument/2006/relationships/hyperlink" Target="https://eec.eaeunion.org/comission/department/deptexreg/tr/TR_EAEU_043-2017.php" TargetMode="External"/><Relationship Id="rId-buwub6_ulrdmggschmft" Type="http://schemas.openxmlformats.org/officeDocument/2006/relationships/hyperlink" Target="https://eec.eaeunion.org/comission/department/deptexreg/tr/bezopSH.php" TargetMode="External"/><Relationship Id="rId1ksqkrb8bzrnjollomksj" Type="http://schemas.openxmlformats.org/officeDocument/2006/relationships/hyperlink" Target="https://eec.eaeunion.org/comission/department/deptexreg/tr/TR_EAEU_050.php" TargetMode="External"/><Relationship Id="rIdihnb0bd0njcrb3c2xh8vp" Type="http://schemas.openxmlformats.org/officeDocument/2006/relationships/hyperlink" Target="http://publication.pravo.gov.ru/document/0001202203140039" TargetMode="External"/><Relationship Id="rIdnddlzilyytavas_9xyrhx" Type="http://schemas.openxmlformats.org/officeDocument/2006/relationships/hyperlink" Target="http://publication.pravo.gov.ru/document/0001202410080008" TargetMode="External"/><Relationship Id="rIdufm5a_4kg1khwmgyhpco9" Type="http://schemas.openxmlformats.org/officeDocument/2006/relationships/hyperlink" Target="https://docs.eaeunion.org/documents/335/4666/" TargetMode="External"/><Relationship Id="rId8fbnsxqq-p8mkkqfs95cp" Type="http://schemas.openxmlformats.org/officeDocument/2006/relationships/hyperlink" Target="http://publication.pravo.gov.ru/document/0001202308040119" TargetMode="External"/><Relationship Id="rIdhriuso7ll9wad7q2fnl-q" Type="http://schemas.openxmlformats.org/officeDocument/2006/relationships/hyperlink" Target="https://eur-lex.europa.eu/eli/reg/2014/833/oj/eng" TargetMode="External"/><Relationship Id="rIdtzi_sudwcm3jdqiacxqyf" Type="http://schemas.openxmlformats.org/officeDocument/2006/relationships/hyperlink" Target="https://www.legislation.gov.uk/uksi/2019/855/contents" TargetMode="External"/><Relationship Id="rIdcb4osegoy8ylm7cmz9hfx" Type="http://schemas.openxmlformats.org/officeDocument/2006/relationships/hyperlink" Target="https://www.ecfr.gov/current/title-15/subtitle-B/chapter-VII/subchapter-C/part-746" TargetMode="External"/><Relationship Id="rIdqxshzadogn5vk9g-odqol" Type="http://schemas.openxmlformats.org/officeDocument/2006/relationships/hyperlink" Target="http://publication.pravo.gov.ru/document/0001202308040119" TargetMode="External"/><Relationship Id="rIdbhmb3dtwhtv8zomcv6w9i" Type="http://schemas.openxmlformats.org/officeDocument/2006/relationships/hyperlink" Target="https://docs.eaeunion.org/documents/386/6099/" TargetMode="External"/><Relationship Id="rId74xincrr4epkmmpzmxf4y" Type="http://schemas.openxmlformats.org/officeDocument/2006/relationships/hyperlink" Target="https://docs.eaeunion.org/documents/317/2804/" TargetMode="External"/><Relationship Id="rIdlaholvrhpmzur3yndngqd" Type="http://schemas.openxmlformats.org/officeDocument/2006/relationships/hyperlink" Target="http://publication.pravo.gov.ru/document/0001202411290098" TargetMode="External"/><Relationship Id="rIdzxm0s-xp7gjezy0cbor1d" Type="http://schemas.openxmlformats.org/officeDocument/2006/relationships/hyperlink" Target="http://publication.pravo.gov.ru/document/0001201805040007" TargetMode="External"/><Relationship Id="rIdh9w2tabuqvte7rhhhb70z" Type="http://schemas.openxmlformats.org/officeDocument/2006/relationships/hyperlink" Target="https://eec.eaeunion.org/comission/department/deptexreg/tr/%D0%A2%D0%A0-%D0%A2%D0%A1-032.php" TargetMode="External"/><Relationship Id="rIdoqlgzmcwv37217paow_xs" Type="http://schemas.openxmlformats.org/officeDocument/2006/relationships/hyperlink" Target="https://eec.eaeunion.org/comission/department/deptexreg/tr/bezopMashines.php" TargetMode="External"/><Relationship Id="rIdgp_9h6pslrrwltmbmigbs" Type="http://schemas.openxmlformats.org/officeDocument/2006/relationships/hyperlink" Target="https://eec.eaeunion.org/comission/department/deptexreg/tr/bezopKolesnTrS.php" TargetMode="External"/><Relationship Id="rIdlj5abfrfs-gyvheed6xqk" Type="http://schemas.openxmlformats.org/officeDocument/2006/relationships/hyperlink" Target="https://eec.eaeunion.org/comission/department/deptexreg/tr/TR_EAEU_043-2017.php" TargetMode="External"/><Relationship Id="rIdkgkmo_eybroymq1wg3flc" Type="http://schemas.openxmlformats.org/officeDocument/2006/relationships/hyperlink" Target="https://eec.eaeunion.org/comission/department/deptexreg/tr/bezopSH.php" TargetMode="External"/><Relationship Id="rIdxq1wqmwio4oaxeebuftpg" Type="http://schemas.openxmlformats.org/officeDocument/2006/relationships/hyperlink" Target="https://eec.eaeunion.org/comission/department/deptexreg/tr/TR_EAEU_050.php" TargetMode="External"/><Relationship Id="rIdxmt2bwvn0_naw_majjeds" Type="http://schemas.openxmlformats.org/officeDocument/2006/relationships/hyperlink" Target="https://eec.eaeunion.org/comission/department/deptexreg/tr/EMS.php" TargetMode="External"/><Relationship Id="rIdfqjd-bayqgkq-2wde-z6a" Type="http://schemas.openxmlformats.org/officeDocument/2006/relationships/hyperlink" Target="https://eec.eaeunion.org/comission/department/deptexreg/tr/Down_Volt.php" TargetMode="External"/><Relationship Id="rId3a5wwncwruv-xjue9lwpi" Type="http://schemas.openxmlformats.org/officeDocument/2006/relationships/hyperlink" Target="https://eec.eaeunion.org/comission/department/deptexreg/tr/bezopKolesnTrS.php" TargetMode="External"/><Relationship Id="rIdxidioa46wxthzx-nfz8gu" Type="http://schemas.openxmlformats.org/officeDocument/2006/relationships/hyperlink" Target="https://docs.eaeunion.org/documents/335/4666/" TargetMode="External"/><Relationship Id="rIdpi5zeikamxzcarm6padyr" Type="http://schemas.openxmlformats.org/officeDocument/2006/relationships/hyperlink" Target="http://publication.pravo.gov.ru/document/0001202207190018" TargetMode="External"/><Relationship Id="rIdyd1caqzegma19r4oa0dtp" Type="http://schemas.openxmlformats.org/officeDocument/2006/relationships/hyperlink" Target="https://docs.eaeunion.org/documents/253/3575/" TargetMode="External"/><Relationship Id="rId4takiqwdrewffhtkxt8p9" Type="http://schemas.openxmlformats.org/officeDocument/2006/relationships/hyperlink" Target="https://docs.eaeunion.org/documents/214/946/" TargetMode="External"/><Relationship Id="rId_wczk3sdkklqlhbc_zivh" Type="http://schemas.openxmlformats.org/officeDocument/2006/relationships/hyperlink" Target="https://eec.eaeunion.org/comission/department/deptexreg/tr/%D0%A2%D0%A0-%D0%A2%D0%A1-032.php" TargetMode="External"/><Relationship Id="rIdi3n73ll-kgvmdydlbosb9" Type="http://schemas.openxmlformats.org/officeDocument/2006/relationships/hyperlink" Target="https://eec.eaeunion.org/comission/department/deptexreg/tr/bezopKolesnTrS.php" TargetMode="External"/><Relationship Id="rIdc_umni6qe3ldqbjpzw8ks" Type="http://schemas.openxmlformats.org/officeDocument/2006/relationships/hyperlink" Target="https://eec.eaeunion.org/comission/department/deptexreg/tr/%D0%A2%D0%A0-%D0%A2%D0%A1-032.php" TargetMode="External"/><Relationship Id="rIdzepxfq0bxienavhg4usk_" Type="http://schemas.openxmlformats.org/officeDocument/2006/relationships/hyperlink" Target="https://eec.eaeunion.org/comission/department/deptexreg/tr/bezopMashines.php" TargetMode="External"/><Relationship Id="rIddjnzg6zuzj1ibq1yqcz8p" Type="http://schemas.openxmlformats.org/officeDocument/2006/relationships/hyperlink" Target="https://eec.eaeunion.org/comission/department/deptexreg/tr/bezopKolesnTrS.php" TargetMode="External"/><Relationship Id="rIdhc97pnmzqy0u_o5ylutuc" Type="http://schemas.openxmlformats.org/officeDocument/2006/relationships/hyperlink" Target="https://eec.eaeunion.org/comission/department/deptexreg/tr/TR_EAEU_043-2017.php" TargetMode="External"/><Relationship Id="rIdusaczyk6-bmznpnnm4zga" Type="http://schemas.openxmlformats.org/officeDocument/2006/relationships/hyperlink" Target="https://eec.eaeunion.org/comission/department/deptexreg/tr/bezopSH.php" TargetMode="External"/><Relationship Id="rId5eetzsonfqjct3fv1a2wi" Type="http://schemas.openxmlformats.org/officeDocument/2006/relationships/hyperlink" Target="https://eec.eaeunion.org/comission/department/deptexreg/tr/TR_EAEU_050.php" TargetMode="External"/><Relationship Id="rIdl3j9erfaoltzf2acfsawx" Type="http://schemas.openxmlformats.org/officeDocument/2006/relationships/hyperlink" Target="https://docs.eaeunion.org/documents/214/946/" TargetMode="External"/><Relationship Id="rId3v_5jzhpovkjrzx-84l1j" Type="http://schemas.openxmlformats.org/officeDocument/2006/relationships/hyperlink" Target="https://docs.eaeunion.org/documents/208/8939/" TargetMode="External"/><Relationship Id="rIdp2jd6h7ctkoamzbjnz_gq" Type="http://schemas.openxmlformats.org/officeDocument/2006/relationships/hyperlink" Target="https://docs.eaeunion.org/documents/446/9811/" TargetMode="External"/><Relationship Id="rIdgk_eku3_er9gd_w3wqr1g" Type="http://schemas.openxmlformats.org/officeDocument/2006/relationships/hyperlink" Target="https://docs.eaeunion.org/documents/447/9823/" TargetMode="External"/><Relationship Id="rIdyto4jpqr_lezhod210hq_" Type="http://schemas.openxmlformats.org/officeDocument/2006/relationships/hyperlink" Target="https://docs.eaeunion.org/documents/429/8205/" TargetMode="External"/><Relationship Id="rIdxm8yx3b7vvfwskdk0c1ck" Type="http://schemas.openxmlformats.org/officeDocument/2006/relationships/hyperlink" Target="https://docs.eaeunion.org/documents/429/8014/" TargetMode="External"/><Relationship Id="rId-fgzeueyzcfz4pzkqico_" Type="http://schemas.openxmlformats.org/officeDocument/2006/relationships/hyperlink" Target="https://docs.eaeunion.org/documents/315/2858/" TargetMode="External"/><Relationship Id="rId5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9026 20 200 0</dc:title>
  <dc:creator>IMEXP</dc:creator>
  <cp:lastModifiedBy>Un-named</cp:lastModifiedBy>
  <cp:revision>1</cp:revision>
  <dcterms:created xsi:type="dcterms:W3CDTF">2026-11-03T09:10:45.877Z</dcterms:created>
  <dcterms:modified xsi:type="dcterms:W3CDTF">2026-11-03T09:10:45.877Z</dcterms:modified>
</cp:coreProperties>
</file>

<file path=docProps/custom.xml><?xml version="1.0" encoding="utf-8"?>
<Properties xmlns="http://schemas.openxmlformats.org/officeDocument/2006/custom-properties" xmlns:vt="http://schemas.openxmlformats.org/officeDocument/2006/docPropsVTypes"/>
</file>