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9027 30 000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9027 — 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w:t>
            </w:r>
          </w:p>
          <w:p>
            <w:pPr>
              <w:spacing w:after="60"/>
            </w:pPr>
            <w:r>
              <w:rPr>
                <w:rFonts w:ascii="Arial" w:cs="Arial" w:eastAsia="Arial" w:hAnsi="Arial"/>
                <w:color w:val="5B6472"/>
                <w:sz w:val="17"/>
                <w:szCs w:val="17"/>
              </w:rPr>
              <w:t xml:space="preserve">9027 30 — Спектрометры, спектрофотометры и спектрографы, основанные на действии оптического излучения (ультрафиолетового, видимой части спектра, инфракрасного)</w:t>
            </w:r>
          </w:p>
          <w:p>
            <w:pPr>
              <w:spacing w:after="60"/>
            </w:pPr>
            <w:r>
              <w:rPr>
                <w:rFonts w:ascii="Arial" w:cs="Arial" w:eastAsia="Arial" w:hAnsi="Arial"/>
                <w:color w:val="5B6472"/>
                <w:sz w:val="17"/>
                <w:szCs w:val="17"/>
              </w:rPr>
              <w:t xml:space="preserve">9027 30 00 — Спектрометры, спектрофотометры и спектрографы, основанные на действии оптического излучения (ультрафиолетового, видимой части спектра, инфракрасного)</w:t>
            </w:r>
          </w:p>
          <w:p>
            <w:pPr>
              <w:spacing w:after="60"/>
            </w:pPr>
            <w:r>
              <w:rPr>
                <w:rFonts w:ascii="Arial" w:cs="Arial" w:eastAsia="Arial" w:hAnsi="Arial"/>
                <w:b/>
                <w:bCs/>
                <w:sz w:val="19"/>
                <w:szCs w:val="19"/>
              </w:rPr>
              <w:t xml:space="preserve">9027 30 000 0 — Спектрометры, спектрофотометры и спектрографы, основанные на действии оптического излучения (ультрафиолетового, видимой части спектра, инфракрасного)</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fb-_ftzpnw5ahndt50-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s7omx51gygb6pybghtk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nl4602_v2esxtay7dsdus">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5wr8gy5hzwpr4jmxglvnx">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bmy6kk_fiy7mxjmtrggdo">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gihlx2ed9igla1ozuab-t">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meihjhicbfkkwgg4bm_hf">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2.16 (касается части товаров кода)</w:t>
            </w:r>
          </w:p>
          <w:p>
            <w:pPr>
              <w:spacing w:after="60"/>
              <w:ind w:left="220" w:hanging="160"/>
            </w:pPr>
            <w:r>
              <w:rPr>
                <w:rFonts w:ascii="Arial" w:cs="Arial" w:eastAsia="Arial" w:hAnsi="Arial"/>
                <w:sz w:val="19"/>
                <w:szCs w:val="19"/>
              </w:rPr>
              <w:t xml:space="preserve">• Разрешение по экспортному контролю — </w:t>
            </w:r>
            <w:hyperlink w:history="1" r:id="rIduxhkoobqn4g7naqpxy4jw">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2.6.2.6 (если товар относится к этому виду)</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qiuwyzf8qyxufsybt47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428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12 (машины, механизмы и оборудование из перечня пункта 12, кроме названных в нём бытовых)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pwlx8afulvdmvdnhnk_kj">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d8hqv-cdvfqs81af6545x">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8k2c8bmkwaq7os8zzezr6">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7hpwmvsq2gc3nqg-6ohk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428 (9027): ABB, AIC, Conteg, DELTA ELECTRONICS, DRAEGER, DRUCK, FEBI, FLUKE, Glotech, HANS PRIES, Helvar, HEWLETT PACKARD (HP), HYUNDAI, KIA, ninebot, NINEROBOT, PANASONIC, RIKEN KEIKI, Schneider Electric, SWAG, testo, TRIDONIC, TRIPP LITE, VAF, VALEO, VERTIV, YOKOGAWA</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iuqahdjr8bpce-eofqph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vfo7ps58c80q8o7jssle">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i-dpatvfstiourxib0wb_">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9027 — Приборы для функциональной диагностики измерительные 94 4100 (комплексы аппаратуры для передачи электрокардиограмм по телефонному каналу; кардиокомплексы; приборы для измерения биоэлектрических потенциалов; средства измерения массы, силы, энергии, линейных и угловых величин, температуры; приборы…</w:t>
            </w:r>
          </w:p>
          <w:p>
            <w:pPr>
              <w:spacing w:after="60"/>
              <w:ind w:left="220" w:hanging="160"/>
            </w:pPr>
            <w:r>
              <w:rPr>
                <w:rFonts w:ascii="Arial" w:cs="Arial" w:eastAsia="Arial" w:hAnsi="Arial"/>
                <w:sz w:val="19"/>
                <w:szCs w:val="19"/>
              </w:rPr>
              <w:t xml:space="preserve">• 9027 — Приборы и аппараты для медицинских лабораторных исследований 94 4300 (анализаторы состава и свойств биологических жидкостей медицинские; приборы и аппараты для санитарно-гигиенических и бактериологических исследований измерительные; приборы и аппараты для клинико-диагностических лабораторных…</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wemqycwvgptfoj04rztz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Радиоэлектронные средства и (или) высокочастотные устройства гражданского назначения, в том числе встроенные либо входящие в состав других товаров (касается части товаров кода)</w:t>
            </w:r>
          </w:p>
          <w:p>
            <w:pPr>
              <w:spacing w:after="60"/>
            </w:pPr>
            <w:hyperlink w:history="1" r:id="rIdrzprjsyok99n5957yxuqj">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2.16</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innlcmn5smi6fl1xtntpu">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gf7bug_n6zvmd7pmq_rcd">
              <w:r>
                <w:rPr>
                  <w:rFonts w:ascii="Arial" w:cs="Arial" w:eastAsia="Arial" w:hAnsi="Arial"/>
                  <w:b/>
                  <w:bCs/>
                  <w:color w:val="1F5FBF"/>
                  <w:sz w:val="19"/>
                  <w:szCs w:val="19"/>
                  <w:u w:val="single"/>
                </w:rPr>
                <w:t xml:space="preserve">ТР ТС 010/2011</w:t>
              </w:r>
            </w:hyperlink>
            <w:r>
              <w:rPr>
                <w:rFonts w:ascii="Arial" w:cs="Arial" w:eastAsia="Arial" w:hAnsi="Arial"/>
                <w:b/>
                <w:bCs/>
                <w:sz w:val="19"/>
                <w:szCs w:val="19"/>
              </w:rPr>
              <w:t xml:space="preserve"> «О безопасности машин и оборудования»</w:t>
            </w:r>
          </w:p>
          <w:p>
            <w:pPr>
              <w:spacing w:after="60"/>
              <w:ind w:left="220" w:hanging="160"/>
            </w:pPr>
            <w:r>
              <w:rPr>
                <w:rFonts w:ascii="Arial" w:cs="Arial" w:eastAsia="Arial" w:hAnsi="Arial"/>
                <w:sz w:val="19"/>
                <w:szCs w:val="19"/>
              </w:rPr>
              <w:t xml:space="preserve">• сертификат соответствия: Оборудование гаражное для автотранспортных средств и прицепов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9027 30 действует сертификатов: 13, деклараций: 1347; чаще по </w:t>
            </w:r>
            <w:hyperlink w:history="1" r:id="rId_lxpn4x6m-hxh0mv2hpb5">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3bxcxbcpj6avka30ylynj">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jgp643nlq6cjgpiyt8dw">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q7-q4mihgjkhmzapjqif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xo2y9pdewpu1lpowdq_z9">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1.1.4.4: Электронное оборудование и его компоненты, разработанные для автоматического обнаружения или распознавания наличия следов взрывчатых веществ (ВВ) с использованием методов их обнаружения (например, поверхностной акустической волны, спектрометрии подвижных ионов, в том числе с дифференциальной…</w:t>
            </w:r>
          </w:p>
          <w:p>
            <w:pPr>
              <w:spacing w:after="60"/>
              <w:ind w:left="220" w:hanging="160"/>
            </w:pPr>
            <w:r>
              <w:rPr>
                <w:rFonts w:ascii="Arial" w:cs="Arial" w:eastAsia="Arial" w:hAnsi="Arial"/>
                <w:sz w:val="19"/>
                <w:szCs w:val="19"/>
              </w:rPr>
              <w:t xml:space="preserve">• Постановление № 1285, пункт 2.6.2.6 (также в разделе «оборудование и неядерные материалы»): Инфракрасные анализаторы поглощения, способные осуществлять анализ соотношения между водородом и дейтерием в реальном масштабе времени, когда концентрации дейтерия равны или превышают 90 процентов по весу</w:t>
            </w:r>
          </w:p>
          <w:p>
            <w:pPr>
              <w:spacing w:after="60"/>
              <w:ind w:left="220" w:hanging="160"/>
            </w:pPr>
            <w:r>
              <w:rPr>
                <w:rFonts w:ascii="Arial" w:cs="Arial" w:eastAsia="Arial" w:hAnsi="Arial"/>
                <w:sz w:val="19"/>
                <w:szCs w:val="19"/>
              </w:rPr>
              <w:t xml:space="preserve">• Постановление № 1284, пункт 5.11.1 (также в разделе «оборудование»): спроектированные для непрерывного функционирования и пригодные для обнаружения агентов химического оружия, химикатов, указанных в разделах 1 - 4 настоящего списка, или органических соединений, содержащих фосфор, серу, фтор или хлор при концентрациях 0,3 мг/куб. м или менее</w:t>
            </w:r>
          </w:p>
          <w:p>
            <w:pPr>
              <w:spacing w:after="60"/>
            </w:pPr>
            <w:hyperlink w:history="1" r:id="rIdiflzjtu-y-dbvrh_h_1un">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busolebbeadmexyfaxawv">
              <w:r>
                <w:rPr>
                  <w:rFonts w:ascii="Arial" w:cs="Arial" w:eastAsia="Arial" w:hAnsi="Arial"/>
                  <w:color w:val="1F5FBF"/>
                  <w:sz w:val="17"/>
                  <w:szCs w:val="17"/>
                  <w:u w:val="single"/>
                </w:rPr>
                <w:t xml:space="preserve">Постановление Правительства РФ от 16.07.2022 № 1285</w:t>
              </w:r>
            </w:hyperlink>
            <w:r>
              <w:rPr>
                <w:rFonts w:ascii="Arial" w:cs="Arial" w:eastAsia="Arial" w:hAnsi="Arial"/>
                <w:color w:val="5B6472"/>
                <w:sz w:val="17"/>
                <w:szCs w:val="17"/>
              </w:rPr>
              <w:t xml:space="preserve">; </w:t>
            </w:r>
            <w:hyperlink w:history="1" r:id="rIdmgpjsmv555z1br7u3-wfb">
              <w:r>
                <w:rPr>
                  <w:rFonts w:ascii="Arial" w:cs="Arial" w:eastAsia="Arial" w:hAnsi="Arial"/>
                  <w:color w:val="1F5FBF"/>
                  <w:sz w:val="17"/>
                  <w:szCs w:val="17"/>
                  <w:u w:val="single"/>
                </w:rPr>
                <w:t xml:space="preserve">Постановление Правительства РФ от 16.07.2022 № 1284</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p>
            <w:pPr>
              <w:spacing w:after="60"/>
            </w:pPr>
            <w:r>
              <w:rPr>
                <w:rFonts w:ascii="Arial" w:cs="Arial" w:eastAsia="Arial" w:hAnsi="Arial"/>
                <w:color w:val="5B6472"/>
                <w:sz w:val="17"/>
                <w:szCs w:val="17"/>
              </w:rPr>
              <w:t xml:space="preserve">Ввоз ядерных материалов из списка № 1285 — тоже по лицензии (Постановление Правительства РФ от 15.12.2000 № 973).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(4):</w:t>
            </w:r>
          </w:p>
          <w:p>
            <w:pPr>
              <w:spacing w:after="60"/>
              <w:ind w:left="220" w:hanging="160"/>
            </w:pPr>
            <w:r>
              <w:rPr>
                <w:rFonts w:ascii="Arial" w:cs="Arial" w:eastAsia="Arial" w:hAnsi="Arial"/>
                <w:sz w:val="19"/>
                <w:szCs w:val="19"/>
              </w:rPr>
              <w:t xml:space="preserve">• Детектор, функционально представляющий собой спектрометр, предназначенный для анализа физических или химических свойств пробы исследуемых веществ, поглощающих ультрафиолетовое и видимое излучение, посредством измерения длин волн спектров и представления…</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Детектор, функционально представляющий собой спектрометр, предназначенный для анализа физических или химических свойств пробы исследуемых веществ, поглощающих ультрафиолетовое (далее – УФ) излучение, посредством измерения длин волн спектров люминесценции и…</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Детектор, функционально представляющий собой спектрометр, предназначенный для анализа физических или химических свойств пробы исследуемых веществ, поглощающих ультрафиолетовое (далее – УФ) и видимое излучение, посредством измерения длин волн спектров и…</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Прибор для фотометрического, спектрального (качественного) и количественного анализа жидких органических растворителей путем измерения спектрального коэффициента направленного пропускания и спектральной оптической плотности исследуемого образца в диапазоне…</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(5);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Insoptics OMS это измерительная платформа. Стоечный блок OMS представляет собой 19-дюймовый корпус для монтажа в стойку со встроенным процессором Intel Core вместе с оперативной памятью DDR4 и быстрым SSD-накопителем. Стоечное устройство…</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Атомно-абсорбционный спектрофотометр WFX-220А/B служит для определения следующих полезных компонентов: золото, серебро, медь, свинец, цинк, никель и кобальт. Приборы и аппаратура для физического или химического анализа – спектрофотометры.</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Спектрометр Hitachi Х-МЕТ8000 Smart - прибор, работающий по принципу флуоресцентной спектроскопии. Это быстрый и чувствительный метод для характеристики молекулярных компонентов, присутствующих в образце. Флуоресцентная спектроскопия - это…</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Спектрофотометр для видимой области спектра VIS-723N служит для обнаружения молибдена и вольфрама. Приборы и аппаратура для физического или химического анализа – спектрофотометры</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Спектрофотометр – это спектральный прибор, который сравнивает измеряемый поток излучения с эталонным значением. Он предназначен для исследований спектральных составов образцов по длинам волн ЭМ излучений в оптическом диапазоне.</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p4vx-6youmkkz1ytffp8j">
              <w:r>
                <w:rPr>
                  <w:rFonts w:ascii="Arial" w:cs="Arial" w:eastAsia="Arial" w:hAnsi="Arial"/>
                  <w:color w:val="1F5FBF"/>
                  <w:sz w:val="17"/>
                  <w:szCs w:val="17"/>
                  <w:u w:val="single"/>
                </w:rPr>
                <w:t xml:space="preserve">Решение Коллегии ЕЭК от 03.04.2018 № 45</w:t>
              </w:r>
            </w:hyperlink>
          </w:p>
          <w:p>
            <w:pPr>
              <w:spacing w:after="60"/>
              <w:ind w:left="220" w:hanging="160"/>
            </w:pPr>
            <w:r>
              <w:rPr>
                <w:rFonts w:ascii="Arial" w:cs="Arial" w:eastAsia="Arial" w:hAnsi="Arial"/>
                <w:sz w:val="19"/>
                <w:szCs w:val="19"/>
              </w:rPr>
              <w:t xml:space="preserve">• В графе 31 (приборы и аппаратура для физического или химического анализа,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микротомы): идентификационный номер (серийный заводской номер) либо информация об отсутствии такого номера</w:t>
            </w:r>
          </w:p>
          <w:p>
            <w:pPr>
              <w:spacing w:after="60"/>
            </w:pPr>
            <w:hyperlink w:history="1" r:id="rIdmzn83r6nwl8sbvbaktrbu">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9027300000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5tyira9i7a8dtqfn251jr">
              <w:r>
                <w:rPr>
                  <w:rFonts w:ascii="Arial" w:cs="Arial" w:eastAsia="Arial" w:hAnsi="Arial"/>
                  <w:color w:val="1F5FBF"/>
                  <w:sz w:val="19"/>
                  <w:szCs w:val="19"/>
                  <w:u w:val="single"/>
                </w:rPr>
                <w:t xml:space="preserve">ТР ТС 010/2011</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01041 — Заключение (разрешительный документ) на ввоз радиоэлектронных средств и высокочастотных устройств гражданского назначения, в том числе встроенных либо входящих в состав других товаров · </w:t>
            </w:r>
            <w:hyperlink w:history="1" r:id="rIdutkv7fud0vzzebngkioto">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2.16</w:t>
            </w:r>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ezotm6zoibq6xm7zba_ym">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2.6.2.6</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f9e0azna3fzgkaoofhxbg">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2.6.2.6</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d8_1tslzkmsi565slvku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t-1hxwdwgmt7vslxkqax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njhce-pun9mfdco5zrgx3">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hcm2p6g9xhs1p0b95dy64">
              <w:r>
                <w:rPr>
                  <w:rFonts w:ascii="Arial" w:cs="Arial" w:eastAsia="Arial" w:hAnsi="Arial"/>
                  <w:color w:val="1F5FBF"/>
                  <w:sz w:val="19"/>
                  <w:szCs w:val="19"/>
                  <w:u w:val="single"/>
                </w:rPr>
                <w:t xml:space="preserve">Решение Коллегии ЕЭК № 73 от 25.06.2024</w:t>
              </w:r>
            </w:hyperlink>
            <w:r>
              <w:rPr>
                <w:rFonts w:ascii="Arial" w:cs="Arial" w:eastAsia="Arial" w:hAnsi="Arial"/>
                <w:sz w:val="19"/>
                <w:szCs w:val="19"/>
              </w:rPr>
              <w:t xml:space="preserve"> — О внесении изменений в приложения № 2 и 4 к Порядку заполнения декларации на товары (вступило в силу 28.07.2024)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https://imexp.ru/katalog/kod/9027300000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fb-_ftzpnw5ahndt50-t" Type="http://schemas.openxmlformats.org/officeDocument/2006/relationships/hyperlink" Target="https://docs.eaeunion.org/documents/386/6099/" TargetMode="External"/><Relationship Id="rIdxs7omx51gygb6pybghtkp" Type="http://schemas.openxmlformats.org/officeDocument/2006/relationships/hyperlink" Target="https://docs.eaeunion.org/documents/386/6099/" TargetMode="External"/><Relationship Id="rIdnl4602_v2esxtay7dsdus" Type="http://schemas.openxmlformats.org/officeDocument/2006/relationships/hyperlink" Target="https://eec.eaeunion.org/comission/department/deptexreg/tr/bezopMashines.php" TargetMode="External"/><Relationship Id="rId5wr8gy5hzwpr4jmxglvnx" Type="http://schemas.openxmlformats.org/officeDocument/2006/relationships/hyperlink" Target="http://publication.pravo.gov.ru/document/0001202203140039" TargetMode="External"/><Relationship Id="rIdbmy6kk_fiy7mxjmtrggdo" Type="http://schemas.openxmlformats.org/officeDocument/2006/relationships/hyperlink" Target="http://publication.pravo.gov.ru/document/0001202410080008" TargetMode="External"/><Relationship Id="rIdgihlx2ed9igla1ozuab-t" Type="http://schemas.openxmlformats.org/officeDocument/2006/relationships/hyperlink" Target="https://docs.eaeunion.org/documents/335/4666/" TargetMode="External"/><Relationship Id="rIdmeihjhicbfkkwgg4bm_hf" Type="http://schemas.openxmlformats.org/officeDocument/2006/relationships/hyperlink" Target="https://docs.eaeunion.org/documents/292/1553/" TargetMode="External"/><Relationship Id="rIduxhkoobqn4g7naqpxy4jw" Type="http://schemas.openxmlformats.org/officeDocument/2006/relationships/hyperlink" Target="http://publication.pravo.gov.ru/document/0001202207190029" TargetMode="External"/><Relationship Id="rIdeqiuwyzf8qyxufsybt47n" Type="http://schemas.openxmlformats.org/officeDocument/2006/relationships/hyperlink" Target="http://publication.pravo.gov.ru/document/0001202308040119" TargetMode="External"/><Relationship Id="rIdpwlx8afulvdmvdnhnk_kj" Type="http://schemas.openxmlformats.org/officeDocument/2006/relationships/hyperlink" Target="https://eur-lex.europa.eu/eli/reg/2014/833/oj/eng" TargetMode="External"/><Relationship Id="rIdd8hqv-cdvfqs81af6545x" Type="http://schemas.openxmlformats.org/officeDocument/2006/relationships/hyperlink" Target="https://www.legislation.gov.uk/uksi/2019/855/contents" TargetMode="External"/><Relationship Id="rId8k2c8bmkwaq7os8zzezr6" Type="http://schemas.openxmlformats.org/officeDocument/2006/relationships/hyperlink" Target="https://www.ecfr.gov/current/title-15/subtitle-B/chapter-VII/subchapter-C/part-746" TargetMode="External"/><Relationship Id="rId7hpwmvsq2gc3nqg-6ohkx" Type="http://schemas.openxmlformats.org/officeDocument/2006/relationships/hyperlink" Target="http://publication.pravo.gov.ru/document/0001202308040119" TargetMode="External"/><Relationship Id="rIdiuqahdjr8bpce-eofqphh" Type="http://schemas.openxmlformats.org/officeDocument/2006/relationships/hyperlink" Target="https://docs.eaeunion.org/documents/386/6099/" TargetMode="External"/><Relationship Id="rIdivfo7ps58c80q8o7jssle" Type="http://schemas.openxmlformats.org/officeDocument/2006/relationships/hyperlink" Target="https://docs.eaeunion.org/documents/317/2804/" TargetMode="External"/><Relationship Id="rIdi-dpatvfstiourxib0wb_" Type="http://schemas.openxmlformats.org/officeDocument/2006/relationships/hyperlink" Target="http://publication.pravo.gov.ru/document/0001201510050001" TargetMode="External"/><Relationship Id="rIdwemqycwvgptfoj04rztzt" Type="http://schemas.openxmlformats.org/officeDocument/2006/relationships/hyperlink" Target="http://publication.pravo.gov.ru/document/0001202411290098" TargetMode="External"/><Relationship Id="rIdrzprjsyok99n5957yxuqj" Type="http://schemas.openxmlformats.org/officeDocument/2006/relationships/hyperlink" Target="https://docs.eaeunion.org/documents/292/1553/" TargetMode="External"/><Relationship Id="rIdinnlcmn5smi6fl1xtntpu" Type="http://schemas.openxmlformats.org/officeDocument/2006/relationships/hyperlink" Target="http://publication.pravo.gov.ru/document/0001201805040007" TargetMode="External"/><Relationship Id="rIdgf7bug_n6zvmd7pmq_rcd" Type="http://schemas.openxmlformats.org/officeDocument/2006/relationships/hyperlink" Target="https://eec.eaeunion.org/comission/department/deptexreg/tr/bezopMashines.php" TargetMode="External"/><Relationship Id="rId_lxpn4x6m-hxh0mv2hpb5" Type="http://schemas.openxmlformats.org/officeDocument/2006/relationships/hyperlink" Target="https://eec.eaeunion.org/comission/department/deptexreg/tr/EMS.php" TargetMode="External"/><Relationship Id="rId3bxcxbcpj6avka30ylynj" Type="http://schemas.openxmlformats.org/officeDocument/2006/relationships/hyperlink" Target="https://eec.eaeunion.org/comission/department/deptexreg/tr/Down_Volt.php" TargetMode="External"/><Relationship Id="rId-jgp643nlq6cjgpiyt8dw" Type="http://schemas.openxmlformats.org/officeDocument/2006/relationships/hyperlink" Target="https://eec.eaeunion.org/comission/department/deptexreg/tr/bezopMashines.php" TargetMode="External"/><Relationship Id="rIdq7-q4mihgjkhmzapjqifq" Type="http://schemas.openxmlformats.org/officeDocument/2006/relationships/hyperlink" Target="https://docs.eaeunion.org/documents/335/4666/" TargetMode="External"/><Relationship Id="rIdxo2y9pdewpu1lpowdq_z9" Type="http://schemas.openxmlformats.org/officeDocument/2006/relationships/hyperlink" Target="http://publication.pravo.gov.ru/document/0001202207220041" TargetMode="External"/><Relationship Id="rIdiflzjtu-y-dbvrh_h_1un" Type="http://schemas.openxmlformats.org/officeDocument/2006/relationships/hyperlink" Target="http://publication.pravo.gov.ru/document/0001202207220041" TargetMode="External"/><Relationship Id="rIdbusolebbeadmexyfaxawv" Type="http://schemas.openxmlformats.org/officeDocument/2006/relationships/hyperlink" Target="http://publication.pravo.gov.ru/document/0001202207190029" TargetMode="External"/><Relationship Id="rIdmgpjsmv555z1br7u3-wfb" Type="http://schemas.openxmlformats.org/officeDocument/2006/relationships/hyperlink" Target="http://publication.pravo.gov.ru/document/0001202207190026" TargetMode="External"/><Relationship Id="rIdp4vx-6youmkkz1ytffp8j" Type="http://schemas.openxmlformats.org/officeDocument/2006/relationships/hyperlink" Target="https://docs.eaeunion.org/documents/253/3575/" TargetMode="External"/><Relationship Id="rIdmzn83r6nwl8sbvbaktrbu" Type="http://schemas.openxmlformats.org/officeDocument/2006/relationships/hyperlink" Target="https://docs.eaeunion.org/documents/214/946/" TargetMode="External"/><Relationship Id="rId5tyira9i7a8dtqfn251jr" Type="http://schemas.openxmlformats.org/officeDocument/2006/relationships/hyperlink" Target="https://eec.eaeunion.org/comission/department/deptexreg/tr/bezopMashines.php" TargetMode="External"/><Relationship Id="rIdutkv7fud0vzzebngkioto" Type="http://schemas.openxmlformats.org/officeDocument/2006/relationships/hyperlink" Target="https://docs.eaeunion.org/documents/292/1553/" TargetMode="External"/><Relationship Id="rIdezotm6zoibq6xm7zba_ym" Type="http://schemas.openxmlformats.org/officeDocument/2006/relationships/hyperlink" Target="http://publication.pravo.gov.ru/document/0001202207190029" TargetMode="External"/><Relationship Id="rIdf9e0azna3fzgkaoofhxbg" Type="http://schemas.openxmlformats.org/officeDocument/2006/relationships/hyperlink" Target="http://publication.pravo.gov.ru/document/0001202207190029" TargetMode="External"/><Relationship Id="rIdd8_1tslzkmsi565slvkuk" Type="http://schemas.openxmlformats.org/officeDocument/2006/relationships/hyperlink" Target="https://docs.eaeunion.org/documents/214/946/" TargetMode="External"/><Relationship Id="rIdt-1hxwdwgmt7vslxkqaxo" Type="http://schemas.openxmlformats.org/officeDocument/2006/relationships/hyperlink" Target="https://docs.eaeunion.org/documents/208/8939/" TargetMode="External"/><Relationship Id="rIdnjhce-pun9mfdco5zrgx3" Type="http://schemas.openxmlformats.org/officeDocument/2006/relationships/hyperlink" Target="https://docs.eaeunion.org/documents/447/9823/" TargetMode="External"/><Relationship Id="rIdhcm2p6g9xhs1p0b95dy64" Type="http://schemas.openxmlformats.org/officeDocument/2006/relationships/hyperlink" Target="https://docs.eaeunion.org/documents/429/8205/" TargetMode="External"/><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9027 30 000 0</dc:title>
  <dc:creator>IMEXP</dc:creator>
  <cp:lastModifiedBy>Un-named</cp:lastModifiedBy>
  <cp:revision>1</cp:revision>
  <dcterms:created xsi:type="dcterms:W3CDTF">2026-10-31T05:50:21.596Z</dcterms:created>
  <dcterms:modified xsi:type="dcterms:W3CDTF">2026-10-31T05:50:21.596Z</dcterms:modified>
</cp:coreProperties>
</file>

<file path=docProps/custom.xml><?xml version="1.0" encoding="utf-8"?>
<Properties xmlns="http://schemas.openxmlformats.org/officeDocument/2006/custom-properties" xmlns:vt="http://schemas.openxmlformats.org/officeDocument/2006/docPropsVTypes"/>
</file>