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9030 33 100 0</w:t>
      </w:r>
    </w:p>
    <w:p>
      <w:pPr>
        <w:spacing w:after="200"/>
      </w:pPr>
      <w:r>
        <w:rPr>
          <w:rFonts w:ascii="Arial" w:cs="Arial" w:eastAsia="Arial" w:hAnsi="Arial"/>
          <w:color w:val="5B6472"/>
          <w:sz w:val="19"/>
          <w:szCs w:val="19"/>
        </w:rPr>
        <w:t xml:space="preserve">Сведения на 24.10.2026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XVIII. Инструменты и аппараты оптические, фотографические, кинематографические, измерительные, контрольные, прецизионные, медицинские или хирургические; часы всех видов; музыкальные инструменты; их части и принадлежности</w:t>
            </w:r>
          </w:p>
          <w:p>
            <w:pPr>
              <w:spacing w:after="60"/>
            </w:pPr>
            <w:r>
              <w:rPr>
                <w:rFonts w:ascii="Arial" w:cs="Arial" w:eastAsia="Arial" w:hAnsi="Arial"/>
                <w:color w:val="5B6472"/>
                <w:sz w:val="17"/>
                <w:szCs w:val="17"/>
              </w:rPr>
              <w:t xml:space="preserve">90 — ИНСТРУМЕНТЫ И АППАРАТЫ ОПТИЧЕСКИЕ, ФОТОГРАФИЧЕСКИЕ, КИНЕМАТОГРАФИЧЕСКИЕ, ИЗМЕРИТЕЛЬНЫЕ, КОНТРОЛЬНЫЕ, ПРЕЦИЗИОННЫЕ, МЕДИЦИНСКИЕ ИЛИ ХИРУРГИЧЕСКИЕ; ИХ ЧАСТИ И ПРИНАДЛЕЖНОСТИ</w:t>
            </w:r>
          </w:p>
          <w:p>
            <w:pPr>
              <w:spacing w:after="60"/>
            </w:pPr>
            <w:r>
              <w:rPr>
                <w:rFonts w:ascii="Arial" w:cs="Arial" w:eastAsia="Arial" w:hAnsi="Arial"/>
                <w:color w:val="5B6472"/>
                <w:sz w:val="17"/>
                <w:szCs w:val="17"/>
              </w:rPr>
              <w:t xml:space="preserve">9030 — Осциллоскопы, анализаторы спектра, прочие приборы и аппаратура для измерения или контроля электрических величин, кроме измерительных приборов товарной позиции 9028; приборы и аппаратура для обнаружения или измерения альфа-, бета-, гамма-, рентгеновского, космического или прочих ионизирующих излучений</w:t>
            </w:r>
          </w:p>
          <w:p>
            <w:pPr>
              <w:spacing w:after="60"/>
            </w:pPr>
            <w:r>
              <w:rPr>
                <w:rFonts w:ascii="Arial" w:cs="Arial" w:eastAsia="Arial" w:hAnsi="Arial"/>
                <w:color w:val="5B6472"/>
                <w:sz w:val="17"/>
                <w:szCs w:val="17"/>
              </w:rPr>
              <w:t xml:space="preserve">9030 33 — Приборы и аппаратура для измерения или контроля напряжения, силы тока, сопротивления или мощности (кроме приборов и аппаратуры для измерений или проверки полупроводниковых пластин или приборов), прочие: без записывающего устройства, прочие</w:t>
            </w:r>
          </w:p>
          <w:p>
            <w:pPr>
              <w:spacing w:after="60"/>
            </w:pPr>
            <w:r>
              <w:rPr>
                <w:rFonts w:ascii="Arial" w:cs="Arial" w:eastAsia="Arial" w:hAnsi="Arial"/>
                <w:color w:val="5B6472"/>
                <w:sz w:val="17"/>
                <w:szCs w:val="17"/>
              </w:rPr>
              <w:t xml:space="preserve">9030 33 10 — Приборы и аппаратура для измерения или контроля напряжения, силы тока, сопротивления или мощности (кроме приборов и аппаратуры для измерений или проверки полупроводниковых пластин или приборов), прочие: без записывающего устройства, прочие: электронные</w:t>
            </w:r>
          </w:p>
          <w:p>
            <w:pPr>
              <w:spacing w:after="60"/>
            </w:pPr>
            <w:r>
              <w:rPr>
                <w:rFonts w:ascii="Arial" w:cs="Arial" w:eastAsia="Arial" w:hAnsi="Arial"/>
                <w:b/>
                <w:bCs/>
                <w:sz w:val="19"/>
                <w:szCs w:val="19"/>
              </w:rPr>
              <w:t xml:space="preserve">9030 33 100 0 — Приборы и аппаратура для измерения или контроля напряжения, силы тока, сопротивления или мощности (кроме приборов и аппаратуры для измерений или проверки полупроводниковых пластин или приборов), прочие: без записывающего устройства, прочие: электронные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kkg8ytbzyshuaysgxejj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шт</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yl4ah7u0m2uraf-fwix4">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Сертификат соответствия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m2h3egcq5xulpafacxu36">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x3lv1wcegq9-zh50b5bsz">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ytcednrjzvao6nnsapyvh">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412 и 431 (только для товарных знаков из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12 (машины, механизмы и оборудование из перечня пункта 12, кроме названных в нём бытовых)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mgw4y-iv_elzk6z36jgd">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4i9u-rkuebwltqh1ouca-">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tcg2wgnhhflejsczd64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a8vcxxisij01j4ljc4nta">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412 (90): ACURA, ALFA ROMEO, AUDI, BALLUFF, BENTLEY, BMW, CADILLAC, CHEVROLET, CHRYSLER, DAEWOO, DAIHATSU, DATSUN, DODGE, FERRARI, FIAT, GENERAL MOTORS (GM), GMC, HEIDENHAIN, HONDA, HUMMER, HYUNDAI, INFINITI, JAGUAR, JEEP, LAND ROVER, LEXUS, LINCOLN, KIA, MASERATI,…</w:t>
            </w:r>
          </w:p>
          <w:p>
            <w:pPr>
              <w:spacing w:after="60"/>
              <w:ind w:left="220" w:hanging="160"/>
            </w:pPr>
            <w:r>
              <w:rPr>
                <w:rFonts w:ascii="Arial" w:cs="Arial" w:eastAsia="Arial" w:hAnsi="Arial"/>
                <w:sz w:val="19"/>
                <w:szCs w:val="19"/>
              </w:rPr>
              <w:t xml:space="preserve">• Пункт 431 (9030): ADA instruments, AMETEK, APPA, ASL, BEAMEX, BOMAG, BOSCH, CARLO GAVAZZI, DEWALT, DRUCK, FLUKE, ISOTECH, KEYSIGHT, Measurements International, MEATEST, metabo, PRESYS, SIKA, Sonel, YOKOGAWA</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tzk7ndl2yqlmh0xzh9so5">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cy9nkob6trpumamiebdxy">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7wfsfo7oufjci6gg5ovcl">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9030 — Установки радиационные медицинские 69 4140</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73 860 ₽ за декларацию: код в перечне радиоэлектроники с отдельной ставкой сбора.</w:t>
            </w:r>
          </w:p>
          <w:p>
            <w:pPr>
              <w:spacing w:after="60"/>
            </w:pPr>
            <w:hyperlink w:history="1" r:id="rIdlois4cyxxvghy8fbdzgen">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hhy1zo9ehafadkvljq1h1">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сертификат соответствия: Электрооборудование рудничное нормальное (касается части товаров кода)</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9030 33 действует сертификатов: 63, деклараций: 2572; чаще по </w:t>
            </w:r>
            <w:hyperlink w:history="1" r:id="rIdagioz7z3pkmfnjpv-el63">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 </w:t>
            </w:r>
            <w:hyperlink w:history="1" r:id="rId1uzmbymszr8eg63t5tpe-">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gyimomrwvbh1z36f70klj">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машиностроения и приборостроения производственного, медицинского и бытового назначения, кроме запасных частей к транспортным средствам и бытовой технике (за исключением контактирующих с питьевой водой и пищевыми продуктами); Средства индивидуальной защиты; Иная продукция (товары), в отношении которой одним из государств – членов Евразийского экономического союза введены временные…</w:t>
            </w:r>
          </w:p>
          <w:p>
            <w:pPr>
              <w:spacing w:after="60"/>
            </w:pPr>
            <w:hyperlink w:history="1" r:id="rIdtjx8p72btvdzaalrrwwux">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bfvjjkclqtry4ycxyskam">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3.2.2.2: Для испытания изделий, определенных в пункте 3.1.1.2.2</w:t>
            </w:r>
          </w:p>
          <w:p>
            <w:pPr>
              <w:spacing w:after="60"/>
              <w:ind w:left="220" w:hanging="160"/>
            </w:pPr>
            <w:r>
              <w:rPr>
                <w:rFonts w:ascii="Arial" w:cs="Arial" w:eastAsia="Arial" w:hAnsi="Arial"/>
                <w:sz w:val="19"/>
                <w:szCs w:val="19"/>
              </w:rPr>
              <w:t xml:space="preserve">• </w:t>
            </w:r>
            <w:hyperlink w:history="1" r:id="rIdfy817k8gaj50wjde0auue">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6.1.6.2: Подводные датчики электрического поля, имеющие чувствительность, измеренную на частоте 1 Гц, меньше (лучше) 8 нВ/м, деленных на корень квадратный из частоты в герцах;</w:t>
            </w:r>
          </w:p>
          <w:p>
            <w:pPr>
              <w:spacing w:after="60"/>
              <w:ind w:left="220" w:hanging="160"/>
            </w:pPr>
            <w:r>
              <w:rPr>
                <w:rFonts w:ascii="Arial" w:cs="Arial" w:eastAsia="Arial" w:hAnsi="Arial"/>
                <w:sz w:val="19"/>
                <w:szCs w:val="19"/>
              </w:rPr>
              <w:t xml:space="preserve">• </w:t>
            </w:r>
            <w:hyperlink w:history="1" r:id="rIdw_mxj6kmgfeucr5nnp4na">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6.1.6.4: Компенсационные системы для магнитных датчиков или подводных датчиков электрического поля, которые позволяют этим датчикам получать рабочие характеристики, равные или лучше, чем контрольные параметры, указанные в пункте 6.1.6.1, 6.1.6.2 или 6.1.6.3</w:t>
            </w:r>
          </w:p>
          <w:p>
            <w:pPr>
              <w:spacing w:after="60"/>
              <w:ind w:left="220" w:hanging="160"/>
            </w:pPr>
            <w:r>
              <w:rPr>
                <w:rFonts w:ascii="Arial" w:cs="Arial" w:eastAsia="Arial" w:hAnsi="Arial"/>
                <w:sz w:val="19"/>
                <w:szCs w:val="19"/>
              </w:rPr>
              <w:t xml:space="preserve">• </w:t>
            </w:r>
            <w:hyperlink w:history="1" r:id="rIdjzpkf0sqtxxqbs2e9bfau">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6.1.6.5: Подводные электромагнитные приемники, включающие датчики магнитного поля, определенные в пункте 6.1.6.1, или подводные датчики электрического поля, определенные в пункте 6.1.6.2</w:t>
            </w:r>
          </w:p>
          <w:p>
            <w:pPr>
              <w:spacing w:after="60"/>
              <w:ind w:left="220" w:hanging="160"/>
            </w:pPr>
            <w:r>
              <w:rPr>
                <w:rFonts w:ascii="Arial" w:cs="Arial" w:eastAsia="Arial" w:hAnsi="Arial"/>
                <w:sz w:val="19"/>
                <w:szCs w:val="19"/>
              </w:rPr>
              <w:t xml:space="preserve">• </w:t>
            </w:r>
            <w:hyperlink w:history="1" r:id="rIdnelimqatakhlkv3ovscxo">
              <w:r>
                <w:rPr>
                  <w:rFonts w:ascii="Arial" w:cs="Arial" w:eastAsia="Arial" w:hAnsi="Arial"/>
                  <w:color w:val="1F5FBF"/>
                  <w:sz w:val="19"/>
                  <w:szCs w:val="19"/>
                  <w:u w:val="single"/>
                </w:rPr>
                <w:t xml:space="preserve">Постановление № 1299</w:t>
              </w:r>
            </w:hyperlink>
            <w:r>
              <w:rPr>
                <w:rFonts w:ascii="Arial" w:cs="Arial" w:eastAsia="Arial" w:hAnsi="Arial"/>
                <w:sz w:val="19"/>
                <w:szCs w:val="19"/>
              </w:rPr>
              <w:t xml:space="preserve">, пункт 6.1.5.3 (также в разделе «чувствительные товары»): Компенсационные системы для следующих датчиков:</w:t>
            </w:r>
          </w:p>
          <w:p>
            <w:pPr>
              <w:spacing w:after="60"/>
            </w:pPr>
            <w:r>
              <w:rPr>
                <w:rFonts w:ascii="Arial" w:cs="Arial" w:eastAsia="Arial" w:hAnsi="Arial"/>
                <w:color w:val="5B6472"/>
                <w:sz w:val="17"/>
                <w:szCs w:val="17"/>
              </w:rPr>
              <w:t xml:space="preserve">Ещё пунктов: 1, все — на странице кода.</w:t>
            </w:r>
          </w:p>
          <w:p>
            <w:pPr>
              <w:spacing w:after="60"/>
            </w:pPr>
            <w:hyperlink w:history="1" r:id="rIdvrpvajsnaegcab_hhxo9-">
              <w:r>
                <w:rPr>
                  <w:rFonts w:ascii="Arial" w:cs="Arial" w:eastAsia="Arial" w:hAnsi="Arial"/>
                  <w:color w:val="1F5FBF"/>
                  <w:sz w:val="17"/>
                  <w:szCs w:val="17"/>
                  <w:u w:val="single"/>
                </w:rPr>
                <w:t xml:space="preserve">Постановление Правительства РФ от 19.07.2022 № 1299</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(3); обязательны только в стране, которая их приняла:</w:t>
            </w:r>
          </w:p>
          <w:p>
            <w:pPr>
              <w:spacing w:after="60"/>
              <w:ind w:left="220" w:hanging="160"/>
            </w:pPr>
            <w:r>
              <w:rPr>
                <w:rFonts w:ascii="Arial" w:cs="Arial" w:eastAsia="Arial" w:hAnsi="Arial"/>
                <w:sz w:val="19"/>
                <w:szCs w:val="19"/>
              </w:rPr>
              <w:t xml:space="preserve">• Беларусь: Устройство для оценки напряженности электромагнитного поля через контроль и измерение напряжения, создаваемого полем в антеннах устройства. Конструктивно состоит из блока сигнализатора и двух антенн, соединенных с блоком антенным кабелем.…</w:t>
            </w:r>
          </w:p>
          <w:p>
            <w:pPr>
              <w:spacing w:after="60"/>
            </w:pPr>
            <w:r>
              <w:rPr>
                <w:rFonts w:ascii="Arial" w:cs="Arial" w:eastAsia="Arial" w:hAnsi="Arial"/>
                <w:color w:val="5B6472"/>
                <w:sz w:val="17"/>
                <w:szCs w:val="17"/>
              </w:rPr>
              <w:t xml:space="preserve">В соответсвии с ОПИ 1 и 6</w:t>
            </w:r>
          </w:p>
          <w:p>
            <w:pPr>
              <w:spacing w:after="60"/>
              <w:ind w:left="220" w:hanging="160"/>
            </w:pPr>
            <w:r>
              <w:rPr>
                <w:rFonts w:ascii="Arial" w:cs="Arial" w:eastAsia="Arial" w:hAnsi="Arial"/>
                <w:sz w:val="19"/>
                <w:szCs w:val="19"/>
              </w:rPr>
              <w:t xml:space="preserve">• Казахстан: Указанная модель «RDT1» подходит для диаметров от 0,012 до 6 мм (56 – 2 ½ AWG) и полосы. Номинальная мощность высоковольтного трансформатора 600 ВА. Цифровой вольтметр 4 ½ разряда, разрешение 1 Вольт (мод. РДТ2). Подходит для определения…</w:t>
            </w:r>
          </w:p>
          <w:p>
            <w:pPr>
              <w:spacing w:after="60"/>
            </w:pPr>
            <w:r>
              <w:rPr>
                <w:rFonts w:ascii="Arial" w:cs="Arial" w:eastAsia="Arial" w:hAnsi="Arial"/>
                <w:color w:val="5B6472"/>
                <w:sz w:val="17"/>
                <w:szCs w:val="17"/>
              </w:rPr>
              <w:t xml:space="preserve">ОПИ 1 и 6</w:t>
            </w:r>
          </w:p>
          <w:p>
            <w:pPr>
              <w:spacing w:after="60"/>
              <w:ind w:left="220" w:hanging="160"/>
            </w:pPr>
            <w:r>
              <w:rPr>
                <w:rFonts w:ascii="Arial" w:cs="Arial" w:eastAsia="Arial" w:hAnsi="Arial"/>
                <w:sz w:val="19"/>
                <w:szCs w:val="19"/>
              </w:rPr>
              <w:t xml:space="preserve">• Казахстан: товар представляет собой электронный геофизический прибор бокового каротажа высокого разрешения, тип: WALT-A, предназначенный для определения удельного сопротивления пород, оценки фильтрационных свойств и характеристик пласта в условиях…</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Можно ввозить в несобранном или разобранном виде несколькими партиями: таможня принимает решение о классификации товара целиком.</w:t>
            </w:r>
          </w:p>
          <w:p>
            <w:pPr>
              <w:spacing w:after="60"/>
            </w:pPr>
            <w:hyperlink w:history="1" r:id="rIdfn7i9tvvz2zsrekiwnf0t">
              <w:r>
                <w:rPr>
                  <w:rFonts w:ascii="Arial" w:cs="Arial" w:eastAsia="Arial" w:hAnsi="Arial"/>
                  <w:color w:val="1F5FBF"/>
                  <w:sz w:val="17"/>
                  <w:szCs w:val="17"/>
                  <w:u w:val="single"/>
                </w:rPr>
                <w:t xml:space="preserve">Решение Коллегии ЕЭК от 03.04.2018 № 45</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Подсказки к декларации</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9030331000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ОООО-ХТ — Освобождение от уплаты НДС в отношении ввозимых в Российскую Федерацию медицинских изделий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xavjftqpx_t7osuu7hkjt">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43-wqoa2qem-tixxuk7i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stmhwkmqcgkbqr8fkaqbz">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oszf1grf6v8djebnsjnqv">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eunqgkoj2coqu0wf0-i6f">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frkk1zjmq_lv7ajgs40ao">
              <w:r>
                <w:rPr>
                  <w:rFonts w:ascii="Arial" w:cs="Arial" w:eastAsia="Arial" w:hAnsi="Arial"/>
                  <w:color w:val="1F5FBF"/>
                  <w:sz w:val="19"/>
                  <w:szCs w:val="19"/>
                  <w:u w:val="single"/>
                </w:rPr>
                <w:t xml:space="preserve">Решение Совета ЕЭК № 44 от 29.04.2019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16.05.2019)</w:t>
            </w:r>
          </w:p>
          <w:p>
            <w:pPr>
              <w:spacing w:after="60"/>
              <w:ind w:left="220" w:hanging="160"/>
            </w:pPr>
            <w:r>
              <w:rPr>
                <w:rFonts w:ascii="Arial" w:cs="Arial" w:eastAsia="Arial" w:hAnsi="Arial"/>
                <w:sz w:val="19"/>
                <w:szCs w:val="19"/>
              </w:rPr>
              <w:t xml:space="preserve">• </w:t>
            </w:r>
            <w:hyperlink w:history="1" r:id="rIdidksptuykllcsfgrvx1t9">
              <w:r>
                <w:rPr>
                  <w:rFonts w:ascii="Arial" w:cs="Arial" w:eastAsia="Arial" w:hAnsi="Arial"/>
                  <w:color w:val="1F5FBF"/>
                  <w:sz w:val="19"/>
                  <w:szCs w:val="19"/>
                  <w:u w:val="single"/>
                </w:rPr>
                <w:t xml:space="preserve">Решение Совета ЕЭК № 18 от 26.01.2018</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Другие решения ЕЭК по коду</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w:t>
            </w:r>
            <w:hyperlink w:history="1" r:id="rIdr2m9k3m3mmljl2wewhqdm">
              <w:r>
                <w:rPr>
                  <w:rFonts w:ascii="Arial" w:cs="Arial" w:eastAsia="Arial" w:hAnsi="Arial"/>
                  <w:color w:val="1F5FBF"/>
                  <w:sz w:val="19"/>
                  <w:szCs w:val="19"/>
                  <w:u w:val="single"/>
                </w:rPr>
                <w:t xml:space="preserve">Решение Совета ЕЭК № 1 от 24.01.2025</w:t>
              </w:r>
            </w:hyperlink>
            <w:r>
              <w:rPr>
                <w:rFonts w:ascii="Arial" w:cs="Arial" w:eastAsia="Arial" w:hAnsi="Arial"/>
                <w:sz w:val="19"/>
                <w:szCs w:val="19"/>
              </w:rPr>
              <w:t xml:space="preserve"> — О внесении изменений в Решение Совета Евразийской экономической комиссии от 23 ноября 2020 г. № 105 (вступило в силу 03.02.2025)</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26.51.43 — Приборы для измерения электрических величин без записывающего устройства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https://imexp.ru/katalog/kod/9030331000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kg8ytbzyshuaysgxejj7" Type="http://schemas.openxmlformats.org/officeDocument/2006/relationships/hyperlink" Target="https://docs.eaeunion.org/documents/386/6099/" TargetMode="External"/><Relationship Id="rIdqyl4ah7u0m2uraf-fwix4" Type="http://schemas.openxmlformats.org/officeDocument/2006/relationships/hyperlink" Target="https://docs.eaeunion.org/documents/386/6099/" TargetMode="External"/><Relationship Id="rIdm2h3egcq5xulpafacxu36" Type="http://schemas.openxmlformats.org/officeDocument/2006/relationships/hyperlink" Target="http://publication.pravo.gov.ru/document/0001202203140039" TargetMode="External"/><Relationship Id="rIdx3lv1wcegq9-zh50b5bsz" Type="http://schemas.openxmlformats.org/officeDocument/2006/relationships/hyperlink" Target="https://docs.eaeunion.org/documents/335/4666/" TargetMode="External"/><Relationship Id="rIdytcednrjzvao6nnsapyvh" Type="http://schemas.openxmlformats.org/officeDocument/2006/relationships/hyperlink" Target="http://publication.pravo.gov.ru/document/0001202308040119" TargetMode="External"/><Relationship Id="rIdtmgw4y-iv_elzk6z36jgd" Type="http://schemas.openxmlformats.org/officeDocument/2006/relationships/hyperlink" Target="https://eur-lex.europa.eu/eli/reg/2014/833/oj/eng" TargetMode="External"/><Relationship Id="rId4i9u-rkuebwltqh1ouca-" Type="http://schemas.openxmlformats.org/officeDocument/2006/relationships/hyperlink" Target="https://www.legislation.gov.uk/uksi/2019/855/contents" TargetMode="External"/><Relationship Id="rId-tcg2wgnhhflejsczd64e" Type="http://schemas.openxmlformats.org/officeDocument/2006/relationships/hyperlink" Target="https://www.ecfr.gov/current/title-15/subtitle-B/chapter-VII/subchapter-C/part-746" TargetMode="External"/><Relationship Id="rIda8vcxxisij01j4ljc4nta" Type="http://schemas.openxmlformats.org/officeDocument/2006/relationships/hyperlink" Target="http://publication.pravo.gov.ru/document/0001202308040119" TargetMode="External"/><Relationship Id="rIdtzk7ndl2yqlmh0xzh9so5" Type="http://schemas.openxmlformats.org/officeDocument/2006/relationships/hyperlink" Target="https://docs.eaeunion.org/documents/386/6099/" TargetMode="External"/><Relationship Id="rIdcy9nkob6trpumamiebdxy" Type="http://schemas.openxmlformats.org/officeDocument/2006/relationships/hyperlink" Target="https://docs.eaeunion.org/documents/317/2804/" TargetMode="External"/><Relationship Id="rId7wfsfo7oufjci6gg5ovcl" Type="http://schemas.openxmlformats.org/officeDocument/2006/relationships/hyperlink" Target="http://publication.pravo.gov.ru/document/0001201510050001" TargetMode="External"/><Relationship Id="rIdlois4cyxxvghy8fbdzgen" Type="http://schemas.openxmlformats.org/officeDocument/2006/relationships/hyperlink" Target="http://publication.pravo.gov.ru/document/0001202411290098" TargetMode="External"/><Relationship Id="rIdhhy1zo9ehafadkvljq1h1" Type="http://schemas.openxmlformats.org/officeDocument/2006/relationships/hyperlink" Target="http://publication.pravo.gov.ru/document/0001201805040007" TargetMode="External"/><Relationship Id="rIdagioz7z3pkmfnjpv-el63" Type="http://schemas.openxmlformats.org/officeDocument/2006/relationships/hyperlink" Target="https://eec.eaeunion.org/comission/department/deptexreg/tr/EMS.php" TargetMode="External"/><Relationship Id="rId1uzmbymszr8eg63t5tpe-" Type="http://schemas.openxmlformats.org/officeDocument/2006/relationships/hyperlink" Target="https://eec.eaeunion.org/comission/department/deptexreg/tr/Down_Volt.php" TargetMode="External"/><Relationship Id="rIdgyimomrwvbh1z36f70klj" Type="http://schemas.openxmlformats.org/officeDocument/2006/relationships/hyperlink" Target="https://eec.eaeunion.org/comission/department/deptexreg/tr/bezopMashines.php" TargetMode="External"/><Relationship Id="rIdtjx8p72btvdzaalrrwwux" Type="http://schemas.openxmlformats.org/officeDocument/2006/relationships/hyperlink" Target="https://docs.eaeunion.org/documents/335/4666/" TargetMode="External"/><Relationship Id="rIdbfvjjkclqtry4ycxyskam" Type="http://schemas.openxmlformats.org/officeDocument/2006/relationships/hyperlink" Target="http://publication.pravo.gov.ru/document/0001202207220041" TargetMode="External"/><Relationship Id="rIdfy817k8gaj50wjde0auue" Type="http://schemas.openxmlformats.org/officeDocument/2006/relationships/hyperlink" Target="http://publication.pravo.gov.ru/document/0001202207220041" TargetMode="External"/><Relationship Id="rIdw_mxj6kmgfeucr5nnp4na" Type="http://schemas.openxmlformats.org/officeDocument/2006/relationships/hyperlink" Target="http://publication.pravo.gov.ru/document/0001202207220041" TargetMode="External"/><Relationship Id="rIdjzpkf0sqtxxqbs2e9bfau" Type="http://schemas.openxmlformats.org/officeDocument/2006/relationships/hyperlink" Target="http://publication.pravo.gov.ru/document/0001202207220041" TargetMode="External"/><Relationship Id="rIdnelimqatakhlkv3ovscxo" Type="http://schemas.openxmlformats.org/officeDocument/2006/relationships/hyperlink" Target="http://publication.pravo.gov.ru/document/0001202207220041" TargetMode="External"/><Relationship Id="rIdvrpvajsnaegcab_hhxo9-" Type="http://schemas.openxmlformats.org/officeDocument/2006/relationships/hyperlink" Target="http://publication.pravo.gov.ru/document/0001202207220041" TargetMode="External"/><Relationship Id="rIdfn7i9tvvz2zsrekiwnf0t" Type="http://schemas.openxmlformats.org/officeDocument/2006/relationships/hyperlink" Target="https://docs.eaeunion.org/documents/253/3575/" TargetMode="External"/><Relationship Id="rIdxavjftqpx_t7osuu7hkjt" Type="http://schemas.openxmlformats.org/officeDocument/2006/relationships/hyperlink" Target="https://docs.eaeunion.org/documents/214/946/" TargetMode="External"/><Relationship Id="rId43-wqoa2qem-tixxuk7ij" Type="http://schemas.openxmlformats.org/officeDocument/2006/relationships/hyperlink" Target="https://docs.eaeunion.org/documents/208/8939/" TargetMode="External"/><Relationship Id="rIdstmhwkmqcgkbqr8fkaqbz" Type="http://schemas.openxmlformats.org/officeDocument/2006/relationships/hyperlink" Target="https://docs.eaeunion.org/documents/463/10896/" TargetMode="External"/><Relationship Id="rIdoszf1grf6v8djebnsjnqv" Type="http://schemas.openxmlformats.org/officeDocument/2006/relationships/hyperlink" Target="https://docs.eaeunion.org/documents/248/5450/" TargetMode="External"/><Relationship Id="rIdeunqgkoj2coqu0wf0-i6f" Type="http://schemas.openxmlformats.org/officeDocument/2006/relationships/hyperlink" Target="https://docs.eaeunion.org/documents/338/4871/" TargetMode="External"/><Relationship Id="rIdfrkk1zjmq_lv7ajgs40ao" Type="http://schemas.openxmlformats.org/officeDocument/2006/relationships/hyperlink" Target="https://docs.eaeunion.org/documents/338/4375/" TargetMode="External"/><Relationship Id="rIdidksptuykllcsfgrvx1t9" Type="http://schemas.openxmlformats.org/officeDocument/2006/relationships/hyperlink" Target="https://docs.eaeunion.org/documents/326/3552/" TargetMode="External"/><Relationship Id="rIdr2m9k3m3mmljl2wewhqdm" Type="http://schemas.openxmlformats.org/officeDocument/2006/relationships/hyperlink" Target="https://docs.eaeunion.org/documents/447/9823/" TargetMode="External"/><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9030 33 100 0</dc:title>
  <dc:creator>IMEXP</dc:creator>
  <cp:lastModifiedBy>Un-named</cp:lastModifiedBy>
  <cp:revision>1</cp:revision>
  <dcterms:created xsi:type="dcterms:W3CDTF">2026-10-24T11:54:14.493Z</dcterms:created>
  <dcterms:modified xsi:type="dcterms:W3CDTF">2026-10-24T11:54:14.493Z</dcterms:modified>
</cp:coreProperties>
</file>

<file path=docProps/custom.xml><?xml version="1.0" encoding="utf-8"?>
<Properties xmlns="http://schemas.openxmlformats.org/officeDocument/2006/custom-properties" xmlns:vt="http://schemas.openxmlformats.org/officeDocument/2006/docPropsVTypes"/>
</file>