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9030 90 850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9030 — Осциллоскопы, анализаторы спектра, прочие приборы и аппаратура для измерения или контроля электрических величин, кроме измерительных приборов товарной позиции 9028; приборы и аппаратура для обнаружения или измерения альфа-, бета-, гамма-, рентгеновского, космического или прочих ионизирующих излучений</w:t>
            </w:r>
          </w:p>
          <w:p>
            <w:pPr>
              <w:spacing w:after="60"/>
            </w:pPr>
            <w:r>
              <w:rPr>
                <w:rFonts w:ascii="Arial" w:cs="Arial" w:eastAsia="Arial" w:hAnsi="Arial"/>
                <w:color w:val="5B6472"/>
                <w:sz w:val="17"/>
                <w:szCs w:val="17"/>
              </w:rPr>
              <w:t xml:space="preserve">9030 90 — Части и принадлежности</w:t>
            </w:r>
          </w:p>
          <w:p>
            <w:pPr>
              <w:spacing w:after="60"/>
            </w:pPr>
            <w:r>
              <w:rPr>
                <w:rFonts w:ascii="Arial" w:cs="Arial" w:eastAsia="Arial" w:hAnsi="Arial"/>
                <w:color w:val="5B6472"/>
                <w:sz w:val="17"/>
                <w:szCs w:val="17"/>
              </w:rPr>
              <w:t xml:space="preserve">9030 90 85 — Части и принадлежности: прочие</w:t>
            </w:r>
          </w:p>
          <w:p>
            <w:pPr>
              <w:spacing w:after="60"/>
            </w:pPr>
            <w:r>
              <w:rPr>
                <w:rFonts w:ascii="Arial" w:cs="Arial" w:eastAsia="Arial" w:hAnsi="Arial"/>
                <w:b/>
                <w:bCs/>
                <w:sz w:val="19"/>
                <w:szCs w:val="19"/>
              </w:rPr>
              <w:t xml:space="preserve">9030 90 850 0 — Части и принадлежности: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bfdirbhav-khcqzbcqbw_">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re7k6cie54bpbfxkrvljy">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Сертификат соответствия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ek2mzii7vxbjva4suc1-y">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s8mycawy7tycs3-jppq8r">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s8dcoo12nkbvpe7ztitjj">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412 и 431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12 (машины, механизмы и оборудование из перечня пункта 12, кроме названных в нём бытовых)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hggpbs_-egnvhcckq6zxn">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5p1bjcwcsg7lwkamheces">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jztymxk3ho2mbrsemv5ei">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4qzwr7gyqmmibxgrndt-q">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p>
            <w:pPr>
              <w:spacing w:after="60"/>
              <w:ind w:left="220" w:hanging="160"/>
            </w:pPr>
            <w:r>
              <w:rPr>
                <w:rFonts w:ascii="Arial" w:cs="Arial" w:eastAsia="Arial" w:hAnsi="Arial"/>
                <w:sz w:val="19"/>
                <w:szCs w:val="19"/>
              </w:rPr>
              <w:t xml:space="preserve">• Пункт 431 (9030): ADA instruments, AMETEK, APPA, ASL, BEAMEX, BOMAG, BOSCH, CARLO GAVAZZI, DEWALT, DRUCK, FLUKE, ISOTECH, KEYSIGHT, Measurements International, MEATEST, metabo, PRESYS, SIKA, Sonel, YOKOGAWA</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o3t6kyo3mwjhwqelc9lta">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6_f-k5kocykndxuiuaamy">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qiyohr87amiqm9px_wdod">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9030 — Установки радиационные медицинские 69 4140</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v15qooafre9trsonpkexf">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p>
            <w:pPr>
              <w:spacing w:after="60"/>
            </w:pPr>
            <w:r>
              <w:rPr>
                <w:rFonts w:ascii="Arial" w:cs="Arial" w:eastAsia="Arial" w:hAnsi="Arial"/>
                <w:color w:val="5B6472"/>
                <w:sz w:val="17"/>
                <w:szCs w:val="17"/>
              </w:rPr>
              <w:t xml:space="preserve">Есть меры, касающиеся только вывоза, — они в справке на вывоз.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pxhwiwi6-gxmhugs90j8l">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сертификат соответствия: Электрооборудование рудничное нормальное (касается части товаров кода)</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9030 90 действует сертификатов: 7, деклараций: 226; чаще по </w:t>
            </w:r>
            <w:hyperlink w:history="1" r:id="rIdrrqa8am5wmhpfuqzqcjwo">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ae3uyu9kwmr6mx9jbu8ks">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nj6pvrlgihk_cgyuugkfp">
              <w:r>
                <w:rPr>
                  <w:rFonts w:ascii="Arial" w:cs="Arial" w:eastAsia="Arial" w:hAnsi="Arial"/>
                  <w:color w:val="1F5FBF"/>
                  <w:sz w:val="17"/>
                  <w:szCs w:val="17"/>
                  <w:u w:val="single"/>
                </w:rPr>
                <w:t xml:space="preserve">ТР ТС 012/2011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dozkg9rd_etsj2ld09aoc">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ktlsk5ozodp2fauyoyele">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1.1.4.3: Системы, специально разработанные или модифицированные для обнаружения или распознавания любого из нижеприведенных поражающих факторов, а также специально разработанные для них компоненты:</w:t>
            </w:r>
          </w:p>
          <w:p>
            <w:pPr>
              <w:spacing w:after="60"/>
              <w:ind w:left="220" w:hanging="160"/>
            </w:pPr>
            <w:r>
              <w:rPr>
                <w:rFonts w:ascii="Arial" w:cs="Arial" w:eastAsia="Arial" w:hAnsi="Arial"/>
                <w:sz w:val="19"/>
                <w:szCs w:val="19"/>
              </w:rPr>
              <w:t xml:space="preserve">• </w:t>
            </w:r>
            <w:hyperlink w:history="1" r:id="rIdzhhcqn_o5ikg_2gjh89qs">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3.2.2.2: Для испытания изделий, определенных в пункте 3.1.1.2.2</w:t>
            </w:r>
          </w:p>
          <w:p>
            <w:pPr>
              <w:spacing w:after="60"/>
              <w:ind w:left="220" w:hanging="160"/>
            </w:pPr>
            <w:r>
              <w:rPr>
                <w:rFonts w:ascii="Arial" w:cs="Arial" w:eastAsia="Arial" w:hAnsi="Arial"/>
                <w:sz w:val="19"/>
                <w:szCs w:val="19"/>
              </w:rPr>
              <w:t xml:space="preserve">• </w:t>
            </w:r>
            <w:hyperlink w:history="1" r:id="rIdmn1uupabtpd35rjhbzfvu">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6.1.6.2: Подводные датчики электрического поля, имеющие чувствительность, измеренную на частоте 1 Гц, меньше (лучше) 8 нВ/м, деленных на корень квадратный из частоты в герцах;</w:t>
            </w:r>
          </w:p>
          <w:p>
            <w:pPr>
              <w:spacing w:after="60"/>
              <w:ind w:left="220" w:hanging="160"/>
            </w:pPr>
            <w:r>
              <w:rPr>
                <w:rFonts w:ascii="Arial" w:cs="Arial" w:eastAsia="Arial" w:hAnsi="Arial"/>
                <w:sz w:val="19"/>
                <w:szCs w:val="19"/>
              </w:rPr>
              <w:t xml:space="preserve">• </w:t>
            </w:r>
            <w:hyperlink w:history="1" r:id="rIdhhua2wgykonhybkahopvv">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6.1.6.4: Компенсационные системы для магнитных датчиков или подводных датчиков электрического поля, которые позволяют этим датчикам получать рабочие характеристики, равные или лучше, чем контрольные параметры, указанные в пункте 6.1.6.1, 6.1.6.2 или 6.1.6.3</w:t>
            </w:r>
          </w:p>
          <w:p>
            <w:pPr>
              <w:spacing w:after="60"/>
              <w:ind w:left="220" w:hanging="160"/>
            </w:pPr>
            <w:r>
              <w:rPr>
                <w:rFonts w:ascii="Arial" w:cs="Arial" w:eastAsia="Arial" w:hAnsi="Arial"/>
                <w:sz w:val="19"/>
                <w:szCs w:val="19"/>
              </w:rPr>
              <w:t xml:space="preserve">• </w:t>
            </w:r>
            <w:hyperlink w:history="1" r:id="rId-qqxxvzdt3qay1orlixl-">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6.1.6.5: Подводные электромагнитные приемники, включающие датчики магнитного поля, определенные в пункте 6.1.6.1, или подводные датчики электрического поля, определенные в пункте 6.1.6.2</w:t>
            </w:r>
          </w:p>
          <w:p>
            <w:pPr>
              <w:spacing w:after="60"/>
            </w:pPr>
            <w:r>
              <w:rPr>
                <w:rFonts w:ascii="Arial" w:cs="Arial" w:eastAsia="Arial" w:hAnsi="Arial"/>
                <w:color w:val="5B6472"/>
                <w:sz w:val="17"/>
                <w:szCs w:val="17"/>
              </w:rPr>
              <w:t xml:space="preserve">Ещё пунктов: 2, все — на странице кода.</w:t>
            </w:r>
          </w:p>
          <w:p>
            <w:pPr>
              <w:spacing w:after="60"/>
            </w:pPr>
            <w:hyperlink w:history="1" r:id="rIdejt-micneq58fxsnqbk8r">
              <w:r>
                <w:rPr>
                  <w:rFonts w:ascii="Arial" w:cs="Arial" w:eastAsia="Arial" w:hAnsi="Arial"/>
                  <w:color w:val="1F5FBF"/>
                  <w:sz w:val="17"/>
                  <w:szCs w:val="17"/>
                  <w:u w:val="single"/>
                </w:rPr>
                <w:t xml:space="preserve">Постановление Правительства РФ от 19.07.2022 № 1299</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о классификации, принятые в России (1):</w:t>
            </w:r>
          </w:p>
          <w:p>
            <w:pPr>
              <w:spacing w:after="60"/>
              <w:ind w:left="220" w:hanging="160"/>
            </w:pPr>
            <w:r>
              <w:rPr>
                <w:rFonts w:ascii="Arial" w:cs="Arial" w:eastAsia="Arial" w:hAnsi="Arial"/>
                <w:sz w:val="19"/>
                <w:szCs w:val="19"/>
              </w:rPr>
              <w:t xml:space="preserve">• Токовые клещи модель представляют собой электромагнитное бесконтактное устройство, предназначенное для преобразования переменного тока в проводнике в выходной переменный ток без разрыва цепи. Устройство состоит из разъёмного металлического магнитопровода в…</w:t>
            </w:r>
          </w:p>
          <w:p>
            <w:pPr>
              <w:spacing w:after="60"/>
            </w:pPr>
            <w:r>
              <w:rPr>
                <w:rFonts w:ascii="Arial" w:cs="Arial" w:eastAsia="Arial" w:hAnsi="Arial"/>
                <w:color w:val="5B6472"/>
                <w:sz w:val="17"/>
                <w:szCs w:val="17"/>
              </w:rPr>
              <w:t xml:space="preserve">В соответствии с ОПИ 1 и 6</w:t>
            </w:r>
          </w:p>
          <w:p>
            <w:pPr>
              <w:spacing w:after="60"/>
            </w:pPr>
            <w:r>
              <w:rPr>
                <w:rFonts w:ascii="Arial" w:cs="Arial" w:eastAsia="Arial" w:hAnsi="Arial"/>
                <w:b/>
                <w:bCs/>
                <w:sz w:val="19"/>
                <w:szCs w:val="19"/>
              </w:rPr>
              <w:t xml:space="preserve">Предварительные решения других стран ЕАЭС (1); обязательны только в стране, которая их приняла:</w:t>
            </w:r>
          </w:p>
          <w:p>
            <w:pPr>
              <w:spacing w:after="60"/>
              <w:ind w:left="220" w:hanging="160"/>
            </w:pPr>
            <w:r>
              <w:rPr>
                <w:rFonts w:ascii="Arial" w:cs="Arial" w:eastAsia="Arial" w:hAnsi="Arial"/>
                <w:sz w:val="19"/>
                <w:szCs w:val="19"/>
              </w:rPr>
              <w:t xml:space="preserve">• Казахстан: 10505982 ПЕЧАТНАЯ ПЛАТА В СБОРЕ, AZI GAMMA,NBG. Область применения Данная плата используется в сборке оборудования NBG компании Baker Hughes, для измерения гамма-лучей. Функциональное назначение. Данная плата используется для настройки…</w:t>
            </w:r>
          </w:p>
          <w:p>
            <w:pPr>
              <w:spacing w:after="60"/>
            </w:pPr>
            <w:r>
              <w:rPr>
                <w:rFonts w:ascii="Arial" w:cs="Arial" w:eastAsia="Arial" w:hAnsi="Arial"/>
                <w:color w:val="5B6472"/>
                <w:sz w:val="17"/>
                <w:szCs w:val="17"/>
              </w:rPr>
              <w:t xml:space="preserve">ОПИ 1 и 6</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eijzuwn440fmqaxdbjin-">
              <w:r>
                <w:rPr>
                  <w:rFonts w:ascii="Arial" w:cs="Arial" w:eastAsia="Arial" w:hAnsi="Arial"/>
                  <w:color w:val="1F5FBF"/>
                  <w:sz w:val="17"/>
                  <w:szCs w:val="17"/>
                  <w:u w:val="single"/>
                </w:rPr>
                <w:t xml:space="preserve">Решение Коллегии ЕЭК от 03.04.2018 № 45</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9030908500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sthyhuuaotr9ik4dxvslj">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ijdex39wdx4wy6alutlzk">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ivunvrf5rrcu8yk_tgflw">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26.51.82 — Части и принадлежности изделий, отнесенных к группировкам 26.51.12, 26.51.32, 26.51.33, 26.51.4 и 26.51.5; микротомы; части, не включенные в другие группировки</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https://imexp.ru/katalog/kod/9030908500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fdirbhav-khcqzbcqbw_" Type="http://schemas.openxmlformats.org/officeDocument/2006/relationships/hyperlink" Target="https://docs.eaeunion.org/documents/386/6099/" TargetMode="External"/><Relationship Id="rIdre7k6cie54bpbfxkrvljy" Type="http://schemas.openxmlformats.org/officeDocument/2006/relationships/hyperlink" Target="https://docs.eaeunion.org/documents/386/6099/" TargetMode="External"/><Relationship Id="rIdek2mzii7vxbjva4suc1-y" Type="http://schemas.openxmlformats.org/officeDocument/2006/relationships/hyperlink" Target="http://publication.pravo.gov.ru/document/0001202203140039" TargetMode="External"/><Relationship Id="rIds8mycawy7tycs3-jppq8r" Type="http://schemas.openxmlformats.org/officeDocument/2006/relationships/hyperlink" Target="https://docs.eaeunion.org/documents/335/4666/" TargetMode="External"/><Relationship Id="rIds8dcoo12nkbvpe7ztitjj" Type="http://schemas.openxmlformats.org/officeDocument/2006/relationships/hyperlink" Target="http://publication.pravo.gov.ru/document/0001202308040119" TargetMode="External"/><Relationship Id="rIdhggpbs_-egnvhcckq6zxn" Type="http://schemas.openxmlformats.org/officeDocument/2006/relationships/hyperlink" Target="https://eur-lex.europa.eu/eli/reg/2014/833/oj/eng" TargetMode="External"/><Relationship Id="rId5p1bjcwcsg7lwkamheces" Type="http://schemas.openxmlformats.org/officeDocument/2006/relationships/hyperlink" Target="https://www.legislation.gov.uk/uksi/2019/855/contents" TargetMode="External"/><Relationship Id="rIdjztymxk3ho2mbrsemv5ei" Type="http://schemas.openxmlformats.org/officeDocument/2006/relationships/hyperlink" Target="https://www.ecfr.gov/current/title-15/subtitle-B/chapter-VII/subchapter-C/part-746" TargetMode="External"/><Relationship Id="rId4qzwr7gyqmmibxgrndt-q" Type="http://schemas.openxmlformats.org/officeDocument/2006/relationships/hyperlink" Target="http://publication.pravo.gov.ru/document/0001202308040119" TargetMode="External"/><Relationship Id="rIdo3t6kyo3mwjhwqelc9lta" Type="http://schemas.openxmlformats.org/officeDocument/2006/relationships/hyperlink" Target="https://docs.eaeunion.org/documents/386/6099/" TargetMode="External"/><Relationship Id="rId6_f-k5kocykndxuiuaamy" Type="http://schemas.openxmlformats.org/officeDocument/2006/relationships/hyperlink" Target="https://docs.eaeunion.org/documents/317/2804/" TargetMode="External"/><Relationship Id="rIdqiyohr87amiqm9px_wdod" Type="http://schemas.openxmlformats.org/officeDocument/2006/relationships/hyperlink" Target="http://publication.pravo.gov.ru/document/0001201510050001" TargetMode="External"/><Relationship Id="rIdv15qooafre9trsonpkexf" Type="http://schemas.openxmlformats.org/officeDocument/2006/relationships/hyperlink" Target="http://publication.pravo.gov.ru/document/0001202411290098" TargetMode="External"/><Relationship Id="rIdpxhwiwi6-gxmhugs90j8l" Type="http://schemas.openxmlformats.org/officeDocument/2006/relationships/hyperlink" Target="http://publication.pravo.gov.ru/document/0001201805040007" TargetMode="External"/><Relationship Id="rIdrrqa8am5wmhpfuqzqcjwo" Type="http://schemas.openxmlformats.org/officeDocument/2006/relationships/hyperlink" Target="https://eec.eaeunion.org/comission/department/deptexreg/tr/EMS.php" TargetMode="External"/><Relationship Id="rIdae3uyu9kwmr6mx9jbu8ks" Type="http://schemas.openxmlformats.org/officeDocument/2006/relationships/hyperlink" Target="https://eec.eaeunion.org/comission/department/deptexreg/tr/Down_Volt.php" TargetMode="External"/><Relationship Id="rIdnj6pvrlgihk_cgyuugkfp" Type="http://schemas.openxmlformats.org/officeDocument/2006/relationships/hyperlink" Target="https://eec.eaeunion.org/comission/department/deptexreg/tr/bezopOborydovVzrivredi.php" TargetMode="External"/><Relationship Id="rIddozkg9rd_etsj2ld09aoc" Type="http://schemas.openxmlformats.org/officeDocument/2006/relationships/hyperlink" Target="https://docs.eaeunion.org/documents/335/4666/" TargetMode="External"/><Relationship Id="rIdktlsk5ozodp2fauyoyele" Type="http://schemas.openxmlformats.org/officeDocument/2006/relationships/hyperlink" Target="http://publication.pravo.gov.ru/document/0001202207220041" TargetMode="External"/><Relationship Id="rIdzhhcqn_o5ikg_2gjh89qs" Type="http://schemas.openxmlformats.org/officeDocument/2006/relationships/hyperlink" Target="http://publication.pravo.gov.ru/document/0001202207220041" TargetMode="External"/><Relationship Id="rIdmn1uupabtpd35rjhbzfvu" Type="http://schemas.openxmlformats.org/officeDocument/2006/relationships/hyperlink" Target="http://publication.pravo.gov.ru/document/0001202207220041" TargetMode="External"/><Relationship Id="rIdhhua2wgykonhybkahopvv" Type="http://schemas.openxmlformats.org/officeDocument/2006/relationships/hyperlink" Target="http://publication.pravo.gov.ru/document/0001202207220041" TargetMode="External"/><Relationship Id="rId-qqxxvzdt3qay1orlixl-" Type="http://schemas.openxmlformats.org/officeDocument/2006/relationships/hyperlink" Target="http://publication.pravo.gov.ru/document/0001202207220041" TargetMode="External"/><Relationship Id="rIdejt-micneq58fxsnqbk8r" Type="http://schemas.openxmlformats.org/officeDocument/2006/relationships/hyperlink" Target="http://publication.pravo.gov.ru/document/0001202207220041" TargetMode="External"/><Relationship Id="rIdeijzuwn440fmqaxdbjin-" Type="http://schemas.openxmlformats.org/officeDocument/2006/relationships/hyperlink" Target="https://docs.eaeunion.org/documents/253/3575/" TargetMode="External"/><Relationship Id="rIdsthyhuuaotr9ik4dxvslj" Type="http://schemas.openxmlformats.org/officeDocument/2006/relationships/hyperlink" Target="https://docs.eaeunion.org/documents/214/946/" TargetMode="External"/><Relationship Id="rIdijdex39wdx4wy6alutlzk" Type="http://schemas.openxmlformats.org/officeDocument/2006/relationships/hyperlink" Target="https://docs.eaeunion.org/documents/208/8939/" TargetMode="External"/><Relationship Id="rIdivunvrf5rrcu8yk_tgflw" Type="http://schemas.openxmlformats.org/officeDocument/2006/relationships/hyperlink" Target="https://docs.eaeunion.org/documents/447/9823/" TargetMode="External"/><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9030 90 850 0</dc:title>
  <dc:creator>IMEXP</dc:creator>
  <cp:lastModifiedBy>Un-named</cp:lastModifiedBy>
  <cp:revision>1</cp:revision>
  <dcterms:created xsi:type="dcterms:W3CDTF">2026-10-28T13:49:53.928Z</dcterms:created>
  <dcterms:modified xsi:type="dcterms:W3CDTF">2026-10-28T13:49:53.928Z</dcterms:modified>
</cp:coreProperties>
</file>

<file path=docProps/custom.xml><?xml version="1.0" encoding="utf-8"?>
<Properties xmlns="http://schemas.openxmlformats.org/officeDocument/2006/custom-properties" xmlns:vt="http://schemas.openxmlformats.org/officeDocument/2006/docPropsVTypes"/>
</file>