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9031 80 340 0</w:t>
      </w:r>
    </w:p>
    <w:p>
      <w:pPr>
        <w:spacing w:after="200"/>
      </w:pPr>
      <w:r>
        <w:rPr>
          <w:rFonts w:ascii="Arial" w:cs="Arial" w:eastAsia="Arial" w:hAnsi="Arial"/>
          <w:color w:val="5B6472"/>
          <w:sz w:val="19"/>
          <w:szCs w:val="19"/>
        </w:rPr>
        <w:t xml:space="preserve">Сведения на 02.11.2026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9031 — Измерительные или контрольные приборы, устройства и машины, в другом месте данной группы не поименованные или не включенные; проекторы профильные</w:t>
            </w:r>
          </w:p>
          <w:p>
            <w:pPr>
              <w:spacing w:after="60"/>
            </w:pPr>
            <w:r>
              <w:rPr>
                <w:rFonts w:ascii="Arial" w:cs="Arial" w:eastAsia="Arial" w:hAnsi="Arial"/>
                <w:color w:val="5B6472"/>
                <w:sz w:val="17"/>
                <w:szCs w:val="17"/>
              </w:rPr>
              <w:t xml:space="preserve">9031 80 — Приборы, устройства и машины прочие</w:t>
            </w:r>
          </w:p>
          <w:p>
            <w:pPr>
              <w:spacing w:after="60"/>
            </w:pPr>
            <w:r>
              <w:rPr>
                <w:rFonts w:ascii="Arial" w:cs="Arial" w:eastAsia="Arial" w:hAnsi="Arial"/>
                <w:color w:val="5B6472"/>
                <w:sz w:val="17"/>
                <w:szCs w:val="17"/>
              </w:rPr>
              <w:t xml:space="preserve">9031 80 34 — Приборы, устройства и машины прочие: электронные: для измерения или контроля геометрических величин: прочие</w:t>
            </w:r>
          </w:p>
          <w:p>
            <w:pPr>
              <w:spacing w:after="60"/>
            </w:pPr>
            <w:r>
              <w:rPr>
                <w:rFonts w:ascii="Arial" w:cs="Arial" w:eastAsia="Arial" w:hAnsi="Arial"/>
                <w:b/>
                <w:bCs/>
                <w:sz w:val="19"/>
                <w:szCs w:val="19"/>
              </w:rPr>
              <w:t xml:space="preserve">9031 80 340 0 — Приборы, устройства и машины прочие: электронные: для измерения или контроля геометрических величин: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9rcmztxgcz-hdxskufa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iq_c41fvzi2g3mwr0a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xju9nnl9hxrm78vo_xdge">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 </w:t>
            </w:r>
            <w:hyperlink w:history="1" r:id="rIdt3sabvcjiznnwz0khmpdb">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ekyop684x6pupn8o6r6te">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wpgmb_itglua0e0xdpofd">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wktqdx5v_yzaa_lugruiw">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alrzgtwlrvskqn4ezs-l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7nunzywh2tfpeykbevl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432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q9v6foo-ksbp6sghcu6km">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jaqoudqywpcqngbz_uose">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jmr5fni8siva6ztkkpda9">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4izbffsx6e6sf-aw5nrn">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432 (9031): ACUITAS, ADVITAM, AI-Tek Instruments, ALLNAMICS, Ate, BALTECH, BALLUFF, BEKA, BENTLY NEVADA, BMT, BOMAG, BOSCH, BR BRAUN, Bruel &amp; Kjaer, CARLO GAVAZZI, CATERPILLAR, CHOTEST, dp PRÜFTECHNIK, DIGIDUCER, EagleBurgmann, EDMUND OPTICS, ELSA SOLUTIONS, EMERSON,…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_zc2xn-45ao_kclz9clm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btqdwhy8zy3qofj8md-h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doo45eibksixxcsski6sc">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9031 80 340 0 — Приборы для функциональной диагностики измерительные 94 4100 (комплексы аппаратуры для передачи электрокардиограмм по телефонному каналу; кардиокомплексы; приборы для измерения биоэлектрических потенциалов; средства измерения массы, силы, энергии, линейных и угловых величин, температуры; приборы…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0o2dyytlyjg_kn95xv_v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6lck9qyp5lumxzamwu41">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hkywxjrniislc2tj4wyk9">
              <w:r>
                <w:rPr>
                  <w:rFonts w:ascii="Arial" w:cs="Arial" w:eastAsia="Arial" w:hAnsi="Arial"/>
                  <w:b/>
                  <w:bCs/>
                  <w:color w:val="1F5FBF"/>
                  <w:sz w:val="19"/>
                  <w:szCs w:val="19"/>
                  <w:u w:val="single"/>
                </w:rPr>
                <w:t xml:space="preserve">ТР ТС 010/2011</w:t>
              </w:r>
            </w:hyperlink>
            <w:r>
              <w:rPr>
                <w:rFonts w:ascii="Arial" w:cs="Arial" w:eastAsia="Arial" w:hAnsi="Arial"/>
                <w:b/>
                <w:bCs/>
                <w:sz w:val="19"/>
                <w:szCs w:val="19"/>
              </w:rPr>
              <w:t xml:space="preserve"> «О безопасности машин и оборудования»</w:t>
            </w:r>
          </w:p>
          <w:p>
            <w:pPr>
              <w:spacing w:after="60"/>
              <w:ind w:left="220" w:hanging="160"/>
            </w:pPr>
            <w:r>
              <w:rPr>
                <w:rFonts w:ascii="Arial" w:cs="Arial" w:eastAsia="Arial" w:hAnsi="Arial"/>
                <w:sz w:val="19"/>
                <w:szCs w:val="19"/>
              </w:rPr>
              <w:t xml:space="preserve">• сертификат соответствия: Оборудование гаражное для автотранспортных средств и прицепов (касается части товаров кода)</w:t>
            </w:r>
          </w:p>
          <w:p>
            <w:pPr>
              <w:spacing w:after="60"/>
            </w:pPr>
            <w:hyperlink w:history="1" r:id="rIdug3tgixldan7_ui49lb6g">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Оборудование для питания двигателя газообразным топливом (компримированным природным газом - КПГ, сжиженным нефтяным газом - СНГ (или сжиженным углеводородным газом - СУГ), сжиженным природным газом - СПГ, диметиловым эфиром топливным - ДМЭт): баллон газовый; вспомогательное оборудование баллона;…</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Указатели и датчики аварийных состояний</w:t>
            </w:r>
          </w:p>
          <w:p>
            <w:pPr>
              <w:spacing w:after="60"/>
              <w:ind w:left="220" w:hanging="160"/>
            </w:pPr>
            <w:r>
              <w:rPr>
                <w:rFonts w:ascii="Arial" w:cs="Arial" w:eastAsia="Arial" w:hAnsi="Arial"/>
                <w:sz w:val="19"/>
                <w:szCs w:val="19"/>
              </w:rPr>
              <w:t xml:space="preserve">• сертификат соответствия: Системы впрыска топлива двигателей с принудительным зажиганием и их сменные элементы</w:t>
            </w:r>
          </w:p>
          <w:p>
            <w:pPr>
              <w:spacing w:after="60"/>
            </w:pPr>
            <w:hyperlink w:history="1" r:id="rIdcp9ojdzt5ptv34wtbd65n">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Начало действия редакции - 03.04.2022 г. 12. Показывающие и предохранительные устройства (предназначенные для применения в составе указанного в пунктах 1 – 9 и 13 настоящего перечня оборудования, работающего под избыточным давлением), за исключением устройств, отнесенных к средствам измерений См.…</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9031 80 действует сертификатов: 1581, деклараций: 9784; чаще по </w:t>
            </w:r>
            <w:hyperlink w:history="1" r:id="rIdrtw2zhg3vfcx5nmzm1ork">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zs0oz5bthmmvufkpzytkx">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ubplukuiilabfqpv0rnos">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bdcrq08m36mct0jrcpkj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nxbz8izq2i-cjcp7mhxql">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2.2.6.1: Координатно-измерительные машины (КИМ) с компьютерным управлением или числовым программным управлением, имеющие в соответствии с международным стандартом ISO 10360-2 (2009) пространственную (объемную) максимально допустимую погрешность измерения длины (E 0,MPE ) в любой точке в пределах рабочего…</w:t>
            </w:r>
          </w:p>
          <w:p>
            <w:pPr>
              <w:spacing w:after="60"/>
              <w:ind w:left="220" w:hanging="160"/>
            </w:pPr>
            <w:r>
              <w:rPr>
                <w:rFonts w:ascii="Arial" w:cs="Arial" w:eastAsia="Arial" w:hAnsi="Arial"/>
                <w:sz w:val="19"/>
                <w:szCs w:val="19"/>
              </w:rPr>
              <w:t xml:space="preserve">• </w:t>
            </w:r>
            <w:hyperlink w:history="1" r:id="rId2sfpdzmnrladk8rp9kmlo">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2.2.6.2: Приборы или системы для измерения линейных перемещений, линейные устройства обратной связи и электронные сборки:</w:t>
            </w:r>
          </w:p>
          <w:p>
            <w:pPr>
              <w:spacing w:after="60"/>
              <w:ind w:left="220" w:hanging="160"/>
            </w:pPr>
            <w:r>
              <w:rPr>
                <w:rFonts w:ascii="Arial" w:cs="Arial" w:eastAsia="Arial" w:hAnsi="Arial"/>
                <w:sz w:val="19"/>
                <w:szCs w:val="19"/>
              </w:rPr>
              <w:t xml:space="preserve">• </w:t>
            </w:r>
            <w:hyperlink w:history="1" r:id="rIdzqdopuzhbl3sfs7rpp7rb">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2.2.6.2.1: Измерительные системы бесконтактного типа с разрешением 0,2 мкм или меньше (лучше) при диапазоне измерений от 0 мм до 0,2 мм</w:t>
            </w:r>
          </w:p>
          <w:p>
            <w:pPr>
              <w:spacing w:after="60"/>
              <w:ind w:left="220" w:hanging="160"/>
            </w:pPr>
            <w:r>
              <w:rPr>
                <w:rFonts w:ascii="Arial" w:cs="Arial" w:eastAsia="Arial" w:hAnsi="Arial"/>
                <w:sz w:val="19"/>
                <w:szCs w:val="19"/>
              </w:rPr>
              <w:t xml:space="preserve">• </w:t>
            </w:r>
            <w:hyperlink w:history="1" r:id="rIdh4pxnswg7aqd_yqa4b7pd">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2.2.6.2.2: Линейные устройства обратной связи, специально разработанные для станков и имеющие точность менее (лучше) (800 + (600 x L/1000) нм (L - измеряемая длина в миллиметрах)</w:t>
            </w:r>
          </w:p>
          <w:p>
            <w:pPr>
              <w:spacing w:after="60"/>
              <w:ind w:left="220" w:hanging="160"/>
            </w:pPr>
            <w:r>
              <w:rPr>
                <w:rFonts w:ascii="Arial" w:cs="Arial" w:eastAsia="Arial" w:hAnsi="Arial"/>
                <w:sz w:val="19"/>
                <w:szCs w:val="19"/>
              </w:rPr>
              <w:t xml:space="preserve">• </w:t>
            </w:r>
            <w:hyperlink w:history="1" r:id="rIdalick6it2jtfls29vnrcj">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2.2.6.2.3: Измерительные системы, имеющие все следующие характеристики: а) содержащие лазер; б) имеющие разрешение на полной шкале 0,2 нм или меньше (лучше); и в) способные достигать погрешности измерения при компенсации показателя преломления воздуха в любой точке в пределах измеряемого диапазона, равной или…</w:t>
            </w:r>
          </w:p>
          <w:p>
            <w:pPr>
              <w:spacing w:after="60"/>
            </w:pPr>
            <w:r>
              <w:rPr>
                <w:rFonts w:ascii="Arial" w:cs="Arial" w:eastAsia="Arial" w:hAnsi="Arial"/>
                <w:color w:val="5B6472"/>
                <w:sz w:val="17"/>
                <w:szCs w:val="17"/>
              </w:rPr>
              <w:t xml:space="preserve">Ещё пунктов: 22, все — на странице кода.</w:t>
            </w:r>
          </w:p>
          <w:p>
            <w:pPr>
              <w:spacing w:after="60"/>
            </w:pPr>
            <w:hyperlink w:history="1" r:id="rIdhmtwhweoqasyv4pz-kikd">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ep7fglj7cr_bqbswrh4a7">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bp3knwuokve1xunyqlx8k">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Контрольно-измерительная машина является многоцелевым электронным устройством для измерения геометрических величин, применяется в авиации, аэрокосмической промышленности, автомобилестроении, станкостроении и других отраслях промышленности, где необходимо…</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(15);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Зубоизмерительный центр, представляющий собой 4-осевую машину с ЧПУ, предназначен для автоматического контроля конических колес с прямым и спиральным зубом, автоматического контроля колес гипоидного зацепления согласно ГОСТ1758-81,…</w:t>
            </w:r>
          </w:p>
          <w:p>
            <w:pPr>
              <w:spacing w:after="60"/>
            </w:pPr>
            <w:r>
              <w:rPr>
                <w:rFonts w:ascii="Arial" w:cs="Arial" w:eastAsia="Arial" w:hAnsi="Arial"/>
                <w:color w:val="5B6472"/>
                <w:sz w:val="17"/>
                <w:szCs w:val="17"/>
              </w:rPr>
              <w:t xml:space="preserve">В соответствии с ОПИ 1 (примечание 3 к группе 90), 2 (а) и 6</w:t>
            </w:r>
          </w:p>
          <w:p>
            <w:pPr>
              <w:spacing w:after="60"/>
              <w:ind w:left="220" w:hanging="160"/>
            </w:pPr>
            <w:r>
              <w:rPr>
                <w:rFonts w:ascii="Arial" w:cs="Arial" w:eastAsia="Arial" w:hAnsi="Arial"/>
                <w:sz w:val="19"/>
                <w:szCs w:val="19"/>
              </w:rPr>
              <w:t xml:space="preserve">• Беларусь: Координатная измерительная машина (КИМ) портального типа предназначена для измерения геометрических размеров сложной формы, отклонения формы и расположения поверхностей элементов деталей в лабораториях автомобильной, судостроительной и…</w:t>
            </w:r>
          </w:p>
          <w:p>
            <w:pPr>
              <w:spacing w:after="60"/>
            </w:pPr>
            <w:r>
              <w:rPr>
                <w:rFonts w:ascii="Arial" w:cs="Arial" w:eastAsia="Arial" w:hAnsi="Arial"/>
                <w:color w:val="5B6472"/>
                <w:sz w:val="17"/>
                <w:szCs w:val="17"/>
              </w:rPr>
              <w:t xml:space="preserve">В соответствии с ОПИ 1 (примечание 3 к группе 90), 6, дополнительное примечание 1 к группе 90</w:t>
            </w:r>
          </w:p>
          <w:p>
            <w:pPr>
              <w:spacing w:after="60"/>
              <w:ind w:left="220" w:hanging="160"/>
            </w:pPr>
            <w:r>
              <w:rPr>
                <w:rFonts w:ascii="Arial" w:cs="Arial" w:eastAsia="Arial" w:hAnsi="Arial"/>
                <w:sz w:val="19"/>
                <w:szCs w:val="19"/>
              </w:rPr>
              <w:t xml:space="preserve">• Беларусь: Координатно-измерительная машина (КИМ) предназначена для измерения геометрических величин обработанных деталей контактным и бесконтактным методами. Контактный метод измерения обеспечивается щуповой системой КИМ, бесконтактный - с помощью…</w:t>
            </w:r>
          </w:p>
          <w:p>
            <w:pPr>
              <w:spacing w:after="60"/>
            </w:pPr>
            <w:r>
              <w:rPr>
                <w:rFonts w:ascii="Arial" w:cs="Arial" w:eastAsia="Arial" w:hAnsi="Arial"/>
                <w:color w:val="5B6472"/>
                <w:sz w:val="17"/>
                <w:szCs w:val="17"/>
              </w:rPr>
              <w:t xml:space="preserve">В соответствии с ОПИ 1 (примечанием 3 к группе 90), 2 (а), 3 (в) на уровне субпозиции, 6</w:t>
            </w:r>
          </w:p>
          <w:p>
            <w:pPr>
              <w:spacing w:after="60"/>
              <w:ind w:left="220" w:hanging="160"/>
            </w:pPr>
            <w:r>
              <w:rPr>
                <w:rFonts w:ascii="Arial" w:cs="Arial" w:eastAsia="Arial" w:hAnsi="Arial"/>
                <w:sz w:val="19"/>
                <w:szCs w:val="19"/>
              </w:rPr>
              <w:t xml:space="preserve">• Беларусь: Координатно-измерительная машина предназначена для измерения в автоматическом режиме геометрических параметров механически обработанных деталей. Вес машины 7180 кг, макс.вес детали 2500 кг. Измерение точек на поверхности деталей…</w:t>
            </w:r>
          </w:p>
          <w:p>
            <w:pPr>
              <w:spacing w:after="60"/>
            </w:pPr>
            <w:r>
              <w:rPr>
                <w:rFonts w:ascii="Arial" w:cs="Arial" w:eastAsia="Arial" w:hAnsi="Arial"/>
                <w:color w:val="5B6472"/>
                <w:sz w:val="17"/>
                <w:szCs w:val="17"/>
              </w:rPr>
              <w:t xml:space="preserve">В соответствии с ОПИ 1 (примечание 3 к группе 90), 6 и 3(в) (на уровне субпозиции)</w:t>
            </w:r>
          </w:p>
          <w:p>
            <w:pPr>
              <w:spacing w:after="60"/>
              <w:ind w:left="220" w:hanging="160"/>
            </w:pPr>
            <w:r>
              <w:rPr>
                <w:rFonts w:ascii="Arial" w:cs="Arial" w:eastAsia="Arial" w:hAnsi="Arial"/>
                <w:sz w:val="19"/>
                <w:szCs w:val="19"/>
              </w:rPr>
              <w:t xml:space="preserve">• Беларусь: Электронный датчик в алюминиевом корпусе, работающий в двух плоскостях, предназначен для измерения угла наклона рабочего органа машины. Основными элементами датчика являются чувствительный элемент в виде монолитной электронной интегральной…</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Ещё решений: 10,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vojaov5euh4vtrwswqwq">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9031803400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wvfktadzp23madfhtn9w8">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w:t>
            </w:r>
            <w:hyperlink w:history="1" r:id="rIdry3uhgngk4h28btq3sxl0">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75obwbylscgjnmnu-apls">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q8_ppfcf0btfut-mzm32f">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wvk5vke5yiivtowowhude">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sfx4cl_6ptl23i6nqw5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wbcjro_uwr2psbljys1z5">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0-t-c-rxbqvsebkwfja53">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bsygnlps9p4-t4bxqsriv">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https://imexp.ru/katalog/kod/9031803400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9rcmztxgcz-hdxskufai" Type="http://schemas.openxmlformats.org/officeDocument/2006/relationships/hyperlink" Target="https://docs.eaeunion.org/documents/386/6099/" TargetMode="External"/><Relationship Id="rIdw-iq_c41fvzi2g3mwr0ar" Type="http://schemas.openxmlformats.org/officeDocument/2006/relationships/hyperlink" Target="https://docs.eaeunion.org/documents/386/6099/" TargetMode="External"/><Relationship Id="rIdxju9nnl9hxrm78vo_xdge" Type="http://schemas.openxmlformats.org/officeDocument/2006/relationships/hyperlink" Target="https://eec.eaeunion.org/comission/department/deptexreg/tr/bezopMashines.php" TargetMode="External"/><Relationship Id="rIdt3sabvcjiznnwz0khmpdb" Type="http://schemas.openxmlformats.org/officeDocument/2006/relationships/hyperlink" Target="https://eec.eaeunion.org/comission/department/deptexreg/tr/bezopKolesnTrS.php" TargetMode="External"/><Relationship Id="rIdekyop684x6pupn8o6r6te" Type="http://schemas.openxmlformats.org/officeDocument/2006/relationships/hyperlink" Target="https://eec.eaeunion.org/comission/department/deptexreg/tr/%D0%A2%D0%A0-%D0%A2%D0%A1-032.php" TargetMode="External"/><Relationship Id="rIdwpgmb_itglua0e0xdpofd" Type="http://schemas.openxmlformats.org/officeDocument/2006/relationships/hyperlink" Target="http://publication.pravo.gov.ru/document/0001202203140039" TargetMode="External"/><Relationship Id="rIdwktqdx5v_yzaa_lugruiw" Type="http://schemas.openxmlformats.org/officeDocument/2006/relationships/hyperlink" Target="http://publication.pravo.gov.ru/document/0001202410080008" TargetMode="External"/><Relationship Id="rIdalrzgtwlrvskqn4ezs-lm" Type="http://schemas.openxmlformats.org/officeDocument/2006/relationships/hyperlink" Target="https://docs.eaeunion.org/documents/335/4666/" TargetMode="External"/><Relationship Id="rIdi7nunzywh2tfpeykbevlf" Type="http://schemas.openxmlformats.org/officeDocument/2006/relationships/hyperlink" Target="http://publication.pravo.gov.ru/document/0001202308040119" TargetMode="External"/><Relationship Id="rIdq9v6foo-ksbp6sghcu6km" Type="http://schemas.openxmlformats.org/officeDocument/2006/relationships/hyperlink" Target="https://eur-lex.europa.eu/eli/reg/2014/833/oj/eng" TargetMode="External"/><Relationship Id="rIdjaqoudqywpcqngbz_uose" Type="http://schemas.openxmlformats.org/officeDocument/2006/relationships/hyperlink" Target="https://www.legislation.gov.uk/uksi/2019/855/contents" TargetMode="External"/><Relationship Id="rIdjmr5fni8siva6ztkkpda9" Type="http://schemas.openxmlformats.org/officeDocument/2006/relationships/hyperlink" Target="https://www.ecfr.gov/current/title-15/subtitle-B/chapter-VII/subchapter-C/part-746" TargetMode="External"/><Relationship Id="rIdw4izbffsx6e6sf-aw5nrn" Type="http://schemas.openxmlformats.org/officeDocument/2006/relationships/hyperlink" Target="http://publication.pravo.gov.ru/document/0001202308040119" TargetMode="External"/><Relationship Id="rId_zc2xn-45ao_kclz9clmy" Type="http://schemas.openxmlformats.org/officeDocument/2006/relationships/hyperlink" Target="https://docs.eaeunion.org/documents/386/6099/" TargetMode="External"/><Relationship Id="rIdbtqdwhy8zy3qofj8md-ho" Type="http://schemas.openxmlformats.org/officeDocument/2006/relationships/hyperlink" Target="https://docs.eaeunion.org/documents/317/2804/" TargetMode="External"/><Relationship Id="rIddoo45eibksixxcsski6sc" Type="http://schemas.openxmlformats.org/officeDocument/2006/relationships/hyperlink" Target="http://publication.pravo.gov.ru/document/0001201510050001" TargetMode="External"/><Relationship Id="rId0o2dyytlyjg_kn95xv_vi" Type="http://schemas.openxmlformats.org/officeDocument/2006/relationships/hyperlink" Target="http://publication.pravo.gov.ru/document/0001202411290098" TargetMode="External"/><Relationship Id="rIdg6lck9qyp5lumxzamwu41" Type="http://schemas.openxmlformats.org/officeDocument/2006/relationships/hyperlink" Target="http://publication.pravo.gov.ru/document/0001201805040007" TargetMode="External"/><Relationship Id="rIdhkywxjrniislc2tj4wyk9" Type="http://schemas.openxmlformats.org/officeDocument/2006/relationships/hyperlink" Target="https://eec.eaeunion.org/comission/department/deptexreg/tr/bezopMashines.php" TargetMode="External"/><Relationship Id="rIdug3tgixldan7_ui49lb6g" Type="http://schemas.openxmlformats.org/officeDocument/2006/relationships/hyperlink" Target="https://eec.eaeunion.org/comission/department/deptexreg/tr/bezopKolesnTrS.php" TargetMode="External"/><Relationship Id="rIdcp9ojdzt5ptv34wtbd65n" Type="http://schemas.openxmlformats.org/officeDocument/2006/relationships/hyperlink" Target="https://eec.eaeunion.org/comission/department/deptexreg/tr/%D0%A2%D0%A0-%D0%A2%D0%A1-032.php" TargetMode="External"/><Relationship Id="rIdrtw2zhg3vfcx5nmzm1ork" Type="http://schemas.openxmlformats.org/officeDocument/2006/relationships/hyperlink" Target="https://eec.eaeunion.org/comission/department/deptexreg/tr/EMS.php" TargetMode="External"/><Relationship Id="rIdzs0oz5bthmmvufkpzytkx" Type="http://schemas.openxmlformats.org/officeDocument/2006/relationships/hyperlink" Target="https://eec.eaeunion.org/comission/department/deptexreg/tr/Down_Volt.php" TargetMode="External"/><Relationship Id="rIdubplukuiilabfqpv0rnos" Type="http://schemas.openxmlformats.org/officeDocument/2006/relationships/hyperlink" Target="https://eec.eaeunion.org/comission/department/deptexreg/tr/bezopKolesnTrS.php" TargetMode="External"/><Relationship Id="rIdbdcrq08m36mct0jrcpkjh" Type="http://schemas.openxmlformats.org/officeDocument/2006/relationships/hyperlink" Target="https://docs.eaeunion.org/documents/335/4666/" TargetMode="External"/><Relationship Id="rIdnxbz8izq2i-cjcp7mhxql" Type="http://schemas.openxmlformats.org/officeDocument/2006/relationships/hyperlink" Target="http://publication.pravo.gov.ru/document/0001202207220041" TargetMode="External"/><Relationship Id="rId2sfpdzmnrladk8rp9kmlo" Type="http://schemas.openxmlformats.org/officeDocument/2006/relationships/hyperlink" Target="http://publication.pravo.gov.ru/document/0001202207220041" TargetMode="External"/><Relationship Id="rIdzqdopuzhbl3sfs7rpp7rb" Type="http://schemas.openxmlformats.org/officeDocument/2006/relationships/hyperlink" Target="http://publication.pravo.gov.ru/document/0001202207220041" TargetMode="External"/><Relationship Id="rIdh4pxnswg7aqd_yqa4b7pd" Type="http://schemas.openxmlformats.org/officeDocument/2006/relationships/hyperlink" Target="http://publication.pravo.gov.ru/document/0001202207220041" TargetMode="External"/><Relationship Id="rIdalick6it2jtfls29vnrcj" Type="http://schemas.openxmlformats.org/officeDocument/2006/relationships/hyperlink" Target="http://publication.pravo.gov.ru/document/0001202207220041" TargetMode="External"/><Relationship Id="rIdhmtwhweoqasyv4pz-kikd" Type="http://schemas.openxmlformats.org/officeDocument/2006/relationships/hyperlink" Target="http://publication.pravo.gov.ru/document/0001202207220041" TargetMode="External"/><Relationship Id="rIdep7fglj7cr_bqbswrh4a7" Type="http://schemas.openxmlformats.org/officeDocument/2006/relationships/hyperlink" Target="http://publication.pravo.gov.ru/document/0001202207190036" TargetMode="External"/><Relationship Id="rIdbp3knwuokve1xunyqlx8k" Type="http://schemas.openxmlformats.org/officeDocument/2006/relationships/hyperlink" Target="http://publication.pravo.gov.ru/document/0001202207190018" TargetMode="External"/><Relationship Id="rId-vojaov5euh4vtrwswqwq" Type="http://schemas.openxmlformats.org/officeDocument/2006/relationships/hyperlink" Target="https://docs.eaeunion.org/documents/253/3575/" TargetMode="External"/><Relationship Id="rIdwvfktadzp23madfhtn9w8" Type="http://schemas.openxmlformats.org/officeDocument/2006/relationships/hyperlink" Target="https://eec.eaeunion.org/comission/department/deptexreg/tr/bezopMashines.php" TargetMode="External"/><Relationship Id="rIdry3uhgngk4h28btq3sxl0" Type="http://schemas.openxmlformats.org/officeDocument/2006/relationships/hyperlink" Target="https://eec.eaeunion.org/comission/department/deptexreg/tr/bezopKolesnTrS.php" TargetMode="External"/><Relationship Id="rId75obwbylscgjnmnu-apls" Type="http://schemas.openxmlformats.org/officeDocument/2006/relationships/hyperlink" Target="https://eec.eaeunion.org/comission/department/deptexreg/tr/%D0%A2%D0%A0-%D0%A2%D0%A1-032.php" TargetMode="External"/><Relationship Id="rIdq8_ppfcf0btfut-mzm32f" Type="http://schemas.openxmlformats.org/officeDocument/2006/relationships/hyperlink" Target="https://eec.eaeunion.org/comission/department/deptexreg/tr/bezopKolesnTrS.php" TargetMode="External"/><Relationship Id="rIdwvk5vke5yiivtowowhude" Type="http://schemas.openxmlformats.org/officeDocument/2006/relationships/hyperlink" Target="https://eec.eaeunion.org/comission/department/deptexreg/tr/%D0%A2%D0%A0-%D0%A2%D0%A1-032.php" TargetMode="External"/><Relationship Id="rIdcsfx4cl_6ptl23i6nqw5h" Type="http://schemas.openxmlformats.org/officeDocument/2006/relationships/hyperlink" Target="https://docs.eaeunion.org/documents/214/946/" TargetMode="External"/><Relationship Id="rIdwbcjro_uwr2psbljys1z5" Type="http://schemas.openxmlformats.org/officeDocument/2006/relationships/hyperlink" Target="https://docs.eaeunion.org/documents/208/8939/" TargetMode="External"/><Relationship Id="rId0-t-c-rxbqvsebkwfja53" Type="http://schemas.openxmlformats.org/officeDocument/2006/relationships/hyperlink" Target="https://docs.eaeunion.org/documents/446/9811/" TargetMode="External"/><Relationship Id="rIdbsygnlps9p4-t4bxqsriv" Type="http://schemas.openxmlformats.org/officeDocument/2006/relationships/hyperlink" Target="https://docs.eaeunion.org/documents/447/9823/" TargetMode="External"/><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9031 80 340 0</dc:title>
  <dc:creator>IMEXP</dc:creator>
  <cp:lastModifiedBy>Un-named</cp:lastModifiedBy>
  <cp:revision>1</cp:revision>
  <dcterms:created xsi:type="dcterms:W3CDTF">2026-11-02T00:21:12.164Z</dcterms:created>
  <dcterms:modified xsi:type="dcterms:W3CDTF">2026-11-02T00:21:12.164Z</dcterms:modified>
</cp:coreProperties>
</file>

<file path=docProps/custom.xml><?xml version="1.0" encoding="utf-8"?>
<Properties xmlns="http://schemas.openxmlformats.org/officeDocument/2006/custom-properties" xmlns:vt="http://schemas.openxmlformats.org/officeDocument/2006/docPropsVTypes"/>
</file>