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9031 80 380 0</w:t>
      </w:r>
    </w:p>
    <w:p>
      <w:pPr>
        <w:spacing w:after="200"/>
      </w:pPr>
      <w:r>
        <w:rPr>
          <w:rFonts w:ascii="Arial" w:cs="Arial" w:eastAsia="Arial" w:hAnsi="Arial"/>
          <w:color w:val="5B6472"/>
          <w:sz w:val="19"/>
          <w:szCs w:val="19"/>
        </w:rPr>
        <w:t xml:space="preserve">Сведения на 01.11.2026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9031 — Измерительные или контрольные приборы, устройства и машины, в другом месте данной группы не поименованные или не включенные; проекторы профильные</w:t>
            </w:r>
          </w:p>
          <w:p>
            <w:pPr>
              <w:spacing w:after="60"/>
            </w:pPr>
            <w:r>
              <w:rPr>
                <w:rFonts w:ascii="Arial" w:cs="Arial" w:eastAsia="Arial" w:hAnsi="Arial"/>
                <w:color w:val="5B6472"/>
                <w:sz w:val="17"/>
                <w:szCs w:val="17"/>
              </w:rPr>
              <w:t xml:space="preserve">9031 80 — Приборы, устройства и машины прочие</w:t>
            </w:r>
          </w:p>
          <w:p>
            <w:pPr>
              <w:spacing w:after="60"/>
            </w:pPr>
            <w:r>
              <w:rPr>
                <w:rFonts w:ascii="Arial" w:cs="Arial" w:eastAsia="Arial" w:hAnsi="Arial"/>
                <w:color w:val="5B6472"/>
                <w:sz w:val="17"/>
                <w:szCs w:val="17"/>
              </w:rPr>
              <w:t xml:space="preserve">9031 80 38 — Приборы, устройства и машины прочие: электронные: прочие</w:t>
            </w:r>
          </w:p>
          <w:p>
            <w:pPr>
              <w:spacing w:after="60"/>
            </w:pPr>
            <w:r>
              <w:rPr>
                <w:rFonts w:ascii="Arial" w:cs="Arial" w:eastAsia="Arial" w:hAnsi="Arial"/>
                <w:b/>
                <w:bCs/>
                <w:sz w:val="19"/>
                <w:szCs w:val="19"/>
              </w:rPr>
              <w:t xml:space="preserve">9031 80 380 0 — Приборы, устройства и машины прочие: электронные: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l7n74aj2qb6udo7gmvap">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vssju_gxhohxdirfsd1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w:t>
            </w:r>
            <w:hyperlink w:history="1" r:id="rIdwqqcnrvbjucyuoz0cvkwz">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 </w:t>
            </w:r>
            <w:hyperlink w:history="1" r:id="rIdgtrx0q8wmwivzlkbx3w-o">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a1amy5t3knppzsctombct">
              <w:r>
                <w:rPr>
                  <w:rFonts w:ascii="Arial" w:cs="Arial" w:eastAsia="Arial" w:hAnsi="Arial"/>
                  <w:color w:val="1F5FBF"/>
                  <w:sz w:val="19"/>
                  <w:szCs w:val="19"/>
                  <w:u w:val="single"/>
                </w:rPr>
                <w:t xml:space="preserve">ТР ТС 032/2013</w:t>
              </w:r>
            </w:hyperlink>
          </w:p>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u95qcas5ylxtm_h3zk8v6">
              <w:r>
                <w:rPr>
                  <w:rFonts w:ascii="Arial" w:cs="Arial" w:eastAsia="Arial" w:hAnsi="Arial"/>
                  <w:color w:val="1F5FBF"/>
                  <w:sz w:val="19"/>
                  <w:szCs w:val="19"/>
                  <w:u w:val="single"/>
                </w:rPr>
                <w:t xml:space="preserve">ТР ТС 031/2012</w:t>
              </w:r>
            </w:hyperlink>
          </w:p>
          <w:p>
            <w:pPr>
              <w:spacing w:after="60"/>
              <w:ind w:left="220" w:hanging="160"/>
            </w:pPr>
            <w:r>
              <w:rPr>
                <w:rFonts w:ascii="Arial" w:cs="Arial" w:eastAsia="Arial" w:hAnsi="Arial"/>
                <w:sz w:val="19"/>
                <w:szCs w:val="19"/>
              </w:rPr>
              <w:t xml:space="preserve">• Декларация о соответствии — </w:t>
            </w:r>
            <w:hyperlink w:history="1" r:id="rId-pwaaxci-alxeuvp124xq">
              <w:r>
                <w:rPr>
                  <w:rFonts w:ascii="Arial" w:cs="Arial" w:eastAsia="Arial" w:hAnsi="Arial"/>
                  <w:color w:val="1F5FBF"/>
                  <w:sz w:val="19"/>
                  <w:szCs w:val="19"/>
                  <w:u w:val="single"/>
                </w:rPr>
                <w:t xml:space="preserve">ТР ЕАЭС 037/2016</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Сертификат соответствия — </w:t>
            </w:r>
            <w:hyperlink w:history="1" r:id="rIdein7zvm8gbrckmqojidxk">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pkianfuh4ek9khfzn0je-">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lratwybao_am13exdtdtf">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cee8apahfgnf0v5_spwvw">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5koousfreke9sihar3tsv">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432 и 433 (под любым товарным знаком)</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jmvcei37tqbch4kujxvrg">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pcfxfx7jg1jkmrv65zqs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0ja_vnrgzoofllfkcrlwn">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dmrueg7s8qevatllwziof">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432 (9031): ACUITAS, ADVITAM, AI-Tek Instruments, ALLNAMICS, Ate, BALTECH, BALLUFF, BEKA, BENTLY NEVADA, BMT, BOMAG, BOSCH, BR BRAUN, Bruel &amp; Kjaer, CARLO GAVAZZI, CATERPILLAR, CHOTEST, dp PRÜFTECHNIK, DIGIDUCER, EagleBurgmann, EDMUND OPTICS, ELSA SOLUTIONS, EMERSON,…</w:t>
            </w:r>
          </w:p>
          <w:p>
            <w:pPr>
              <w:spacing w:after="60"/>
              <w:ind w:left="220" w:hanging="160"/>
            </w:pPr>
            <w:r>
              <w:rPr>
                <w:rFonts w:ascii="Arial" w:cs="Arial" w:eastAsia="Arial" w:hAnsi="Arial"/>
                <w:sz w:val="19"/>
                <w:szCs w:val="19"/>
              </w:rPr>
              <w:t xml:space="preserve">• Пункт 433 (9031 80 380 0): любой товарный знак; кроме знаков GEDORE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xgmnfrtwvucs9tikbzcs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zs425zx4y3bfkku2fkfj_">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0qvsizp3xxwqb9_ok19iu">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9031 80 380 0 — Приборы для функциональной диагностики измерительные 94 4100 (комплексы аппаратуры для передачи электрокардиограмм по телефонному каналу; кардиокомплексы; приборы для измерения биоэлектрических потенциалов; средства измерения массы, силы, энергии, линейных и угловых величин, температуры; приборы…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nvwg3djxwzxbjmsulp4d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p>
            <w:pPr>
              <w:spacing w:after="60"/>
            </w:pPr>
            <w:r>
              <w:rPr>
                <w:rFonts w:ascii="Arial" w:cs="Arial" w:eastAsia="Arial" w:hAnsi="Arial"/>
                <w:color w:val="5B6472"/>
                <w:sz w:val="17"/>
                <w:szCs w:val="17"/>
              </w:rPr>
              <w:t xml:space="preserve">Есть меры, касающиеся только вывоза, — они в справке на вывоз.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rw1iptirf8aa-rqvqwtj-">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czacbii4d77cakijvaxbp">
              <w:r>
                <w:rPr>
                  <w:rFonts w:ascii="Arial" w:cs="Arial" w:eastAsia="Arial" w:hAnsi="Arial"/>
                  <w:b/>
                  <w:bCs/>
                  <w:color w:val="1F5FBF"/>
                  <w:sz w:val="19"/>
                  <w:szCs w:val="19"/>
                  <w:u w:val="single"/>
                </w:rPr>
                <w:t xml:space="preserve">ТР ТС 010/2011</w:t>
              </w:r>
            </w:hyperlink>
            <w:r>
              <w:rPr>
                <w:rFonts w:ascii="Arial" w:cs="Arial" w:eastAsia="Arial" w:hAnsi="Arial"/>
                <w:b/>
                <w:bCs/>
                <w:sz w:val="19"/>
                <w:szCs w:val="19"/>
              </w:rPr>
              <w:t xml:space="preserve"> «О безопасности машин и оборудования»</w:t>
            </w:r>
          </w:p>
          <w:p>
            <w:pPr>
              <w:spacing w:after="60"/>
              <w:ind w:left="220" w:hanging="160"/>
            </w:pPr>
            <w:r>
              <w:rPr>
                <w:rFonts w:ascii="Arial" w:cs="Arial" w:eastAsia="Arial" w:hAnsi="Arial"/>
                <w:sz w:val="19"/>
                <w:szCs w:val="19"/>
              </w:rPr>
              <w:t xml:space="preserve">• сертификат соответствия: Оборудование гаражное для автотранспортных средств и прицепов (касается части товаров кода)</w:t>
            </w:r>
          </w:p>
          <w:p>
            <w:pPr>
              <w:spacing w:after="60"/>
            </w:pPr>
            <w:hyperlink w:history="1" r:id="rIdcnvja-kjp6n2qwf0yintn">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Оборудование для питания двигателя газообразным топливом (компримированным природным газом - КПГ, сжиженным нефтяным газом - СНГ (или сжиженным углеводородным газом - СУГ), сжиженным природным газом - СПГ, диметиловым эфиром топливным - ДМЭт): баллон газовый; вспомогательное оборудование баллона;…</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Указатели и датчики аварийных состояний</w:t>
            </w:r>
          </w:p>
          <w:p>
            <w:pPr>
              <w:spacing w:after="60"/>
              <w:ind w:left="220" w:hanging="160"/>
            </w:pPr>
            <w:r>
              <w:rPr>
                <w:rFonts w:ascii="Arial" w:cs="Arial" w:eastAsia="Arial" w:hAnsi="Arial"/>
                <w:sz w:val="19"/>
                <w:szCs w:val="19"/>
              </w:rPr>
              <w:t xml:space="preserve">• сертификат соответствия: Системы впрыска топлива двигателей с принудительным зажиганием и их сменные элементы</w:t>
            </w:r>
          </w:p>
          <w:p>
            <w:pPr>
              <w:spacing w:after="60"/>
            </w:pPr>
            <w:hyperlink w:history="1" r:id="rIdynvycebneef2twpbnen1j">
              <w:r>
                <w:rPr>
                  <w:rFonts w:ascii="Arial" w:cs="Arial" w:eastAsia="Arial" w:hAnsi="Arial"/>
                  <w:b/>
                  <w:bCs/>
                  <w:color w:val="1F5FBF"/>
                  <w:sz w:val="19"/>
                  <w:szCs w:val="19"/>
                  <w:u w:val="single"/>
                </w:rPr>
                <w:t xml:space="preserve">ТР ТС 032/2013</w:t>
              </w:r>
            </w:hyperlink>
            <w:r>
              <w:rPr>
                <w:rFonts w:ascii="Arial" w:cs="Arial" w:eastAsia="Arial" w:hAnsi="Arial"/>
                <w:b/>
                <w:bCs/>
                <w:sz w:val="19"/>
                <w:szCs w:val="19"/>
              </w:rPr>
              <w:t xml:space="preserve"> «О безопасности оборудования, работающего под избыточным давлением»</w:t>
            </w:r>
          </w:p>
          <w:p>
            <w:pPr>
              <w:spacing w:after="60"/>
              <w:ind w:left="220" w:hanging="160"/>
            </w:pPr>
            <w:r>
              <w:rPr>
                <w:rFonts w:ascii="Arial" w:cs="Arial" w:eastAsia="Arial" w:hAnsi="Arial"/>
                <w:sz w:val="19"/>
                <w:szCs w:val="19"/>
              </w:rPr>
              <w:t xml:space="preserve">• декларация о соответствии или сертификат соответствия: Начало действия редакции - 03.04.2022 г. 12. Показывающие и предохранительные устройства (предназначенные для применения в составе указанного в пунктах 1 – 9 и 13 настоящего перечня оборудования, работающего под избыточным давлением), за исключением устройств, отнесенных к средствам измерений См.…</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hyperlink w:history="1" r:id="rIdvktosfa6ywmszu1axh-yd">
              <w:r>
                <w:rPr>
                  <w:rFonts w:ascii="Arial" w:cs="Arial" w:eastAsia="Arial" w:hAnsi="Arial"/>
                  <w:b/>
                  <w:bCs/>
                  <w:color w:val="1F5FBF"/>
                  <w:sz w:val="19"/>
                  <w:szCs w:val="19"/>
                  <w:u w:val="single"/>
                </w:rPr>
                <w:t xml:space="preserve">ТР ТС 031/2012</w:t>
              </w:r>
            </w:hyperlink>
            <w:r>
              <w:rPr>
                <w:rFonts w:ascii="Arial" w:cs="Arial" w:eastAsia="Arial" w:hAnsi="Arial"/>
                <w:b/>
                <w:bCs/>
                <w:sz w:val="19"/>
                <w:szCs w:val="19"/>
              </w:rPr>
              <w:t xml:space="preserve"> «О безопасности сельскохозяйственных и лесохозяйственных тракторов и прицепов к ним»</w:t>
            </w:r>
          </w:p>
          <w:p>
            <w:pPr>
              <w:spacing w:after="60"/>
              <w:ind w:left="220" w:hanging="160"/>
            </w:pPr>
            <w:r>
              <w:rPr>
                <w:rFonts w:ascii="Arial" w:cs="Arial" w:eastAsia="Arial" w:hAnsi="Arial"/>
                <w:sz w:val="19"/>
                <w:szCs w:val="19"/>
              </w:rPr>
              <w:t xml:space="preserve">• сертификат соответствия: указатель уровня</w:t>
            </w:r>
          </w:p>
          <w:p>
            <w:pPr>
              <w:spacing w:after="60"/>
              <w:ind w:left="220" w:hanging="160"/>
            </w:pPr>
            <w:r>
              <w:rPr>
                <w:rFonts w:ascii="Arial" w:cs="Arial" w:eastAsia="Arial" w:hAnsi="Arial"/>
                <w:sz w:val="19"/>
                <w:szCs w:val="19"/>
              </w:rPr>
              <w:t xml:space="preserve">• сертификат соответствия: газовый дозатор</w:t>
            </w:r>
          </w:p>
          <w:p>
            <w:pPr>
              <w:spacing w:after="60"/>
              <w:ind w:left="220" w:hanging="160"/>
            </w:pPr>
            <w:r>
              <w:rPr>
                <w:rFonts w:ascii="Arial" w:cs="Arial" w:eastAsia="Arial" w:hAnsi="Arial"/>
                <w:sz w:val="19"/>
                <w:szCs w:val="19"/>
              </w:rPr>
              <w:t xml:space="preserve">• сертификат соответствия: датчик давления и температуры</w:t>
            </w:r>
          </w:p>
          <w:p>
            <w:pPr>
              <w:spacing w:after="60"/>
            </w:pPr>
            <w:hyperlink w:history="1" r:id="rIdauhbwqeluvjd2ayqruuyq">
              <w:r>
                <w:rPr>
                  <w:rFonts w:ascii="Arial" w:cs="Arial" w:eastAsia="Arial" w:hAnsi="Arial"/>
                  <w:b/>
                  <w:bCs/>
                  <w:color w:val="1F5FBF"/>
                  <w:sz w:val="19"/>
                  <w:szCs w:val="19"/>
                  <w:u w:val="single"/>
                </w:rPr>
                <w:t xml:space="preserve">ТР ЕАЭС 037/2016</w:t>
              </w:r>
            </w:hyperlink>
            <w:r>
              <w:rPr>
                <w:rFonts w:ascii="Arial" w:cs="Arial" w:eastAsia="Arial" w:hAnsi="Arial"/>
                <w:b/>
                <w:bCs/>
                <w:sz w:val="19"/>
                <w:szCs w:val="19"/>
              </w:rPr>
              <w:t xml:space="preserve"> «Об ограничении применения опасных веществ в изделиях электротехники и радиоэлектроники»</w:t>
            </w:r>
          </w:p>
          <w:p>
            <w:pPr>
              <w:spacing w:after="60"/>
              <w:ind w:left="220" w:hanging="160"/>
            </w:pPr>
            <w:r>
              <w:rPr>
                <w:rFonts w:ascii="Arial" w:cs="Arial" w:eastAsia="Arial" w:hAnsi="Arial"/>
                <w:sz w:val="19"/>
                <w:szCs w:val="19"/>
              </w:rPr>
              <w:t xml:space="preserve">• декларация о соответствии: считыватели биометрической информации (касается части товаров кода)</w:t>
            </w:r>
          </w:p>
          <w:p>
            <w:pPr>
              <w:spacing w:after="60"/>
            </w:pPr>
            <w:hyperlink w:history="1" r:id="rIdcz_ktvdzd_2ord5eg0qyc">
              <w:r>
                <w:rPr>
                  <w:rFonts w:ascii="Arial" w:cs="Arial" w:eastAsia="Arial" w:hAnsi="Arial"/>
                  <w:b/>
                  <w:bCs/>
                  <w:color w:val="1F5FBF"/>
                  <w:sz w:val="19"/>
                  <w:szCs w:val="19"/>
                  <w:u w:val="single"/>
                </w:rPr>
                <w:t xml:space="preserve">ТР ЕАЭС 050/2021</w:t>
              </w:r>
            </w:hyperlink>
            <w:r>
              <w:rPr>
                <w:rFonts w:ascii="Arial" w:cs="Arial" w:eastAsia="Arial" w:hAnsi="Arial"/>
                <w:b/>
                <w:bCs/>
                <w:sz w:val="19"/>
                <w:szCs w:val="19"/>
              </w:rPr>
              <w:t xml:space="preserve"> «О безопасности продукции, предназначенной для гражданской обороны и защиты от чрезвычайных ситуаций природного и техногенного характера»</w:t>
            </w:r>
          </w:p>
          <w:p>
            <w:pPr>
              <w:spacing w:after="60"/>
              <w:ind w:left="220" w:hanging="160"/>
            </w:pPr>
            <w:r>
              <w:rPr>
                <w:rFonts w:ascii="Arial" w:cs="Arial" w:eastAsia="Arial" w:hAnsi="Arial"/>
                <w:sz w:val="19"/>
                <w:szCs w:val="19"/>
              </w:rPr>
              <w:t xml:space="preserve">• сертификат соответствия: Датчики и измерительные средства контроля изменения состояния параметров окружающей среды или отдельных ее компонентов</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9031 80 действует сертификатов: 1581, деклараций: 9784; чаще по </w:t>
            </w:r>
            <w:hyperlink w:history="1" r:id="rIdhfngafdhegr-vzn-plstp">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mhw9v9powube0pwlt2kt0">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tkguhpxr0hxore_sdqund">
              <w:r>
                <w:rPr>
                  <w:rFonts w:ascii="Arial" w:cs="Arial" w:eastAsia="Arial" w:hAnsi="Arial"/>
                  <w:color w:val="1F5FBF"/>
                  <w:sz w:val="17"/>
                  <w:szCs w:val="17"/>
                  <w:u w:val="single"/>
                </w:rPr>
                <w:t xml:space="preserve">ТР ТС 018/2011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qobnlrdf2yj97x-modmo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v-a_x485wi1fwzkqckjli">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1.2.1.6.2: Установки ультразвуковой дефектоскопии с числовым программным управлением, в которых перемещения для позиционирования трансмиттеров или приемников одновременно координируются и программируются по четырем или более осям, чтобы отслеживать трехмерные контуры обследуемого объекта;</w:t>
            </w:r>
          </w:p>
          <w:p>
            <w:pPr>
              <w:spacing w:after="60"/>
              <w:ind w:left="220" w:hanging="160"/>
            </w:pPr>
            <w:r>
              <w:rPr>
                <w:rFonts w:ascii="Arial" w:cs="Arial" w:eastAsia="Arial" w:hAnsi="Arial"/>
                <w:sz w:val="19"/>
                <w:szCs w:val="19"/>
              </w:rPr>
              <w:t xml:space="preserve">• </w:t>
            </w:r>
            <w:hyperlink w:history="1" r:id="rIdtjq64cmmapdprmzg1fua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3.2.2.1: Для измерения S-параметров изделий, определенных в пункте 3.1.1.2.3;</w:t>
            </w:r>
          </w:p>
          <w:p>
            <w:pPr>
              <w:spacing w:after="60"/>
              <w:ind w:left="220" w:hanging="160"/>
            </w:pPr>
            <w:r>
              <w:rPr>
                <w:rFonts w:ascii="Arial" w:cs="Arial" w:eastAsia="Arial" w:hAnsi="Arial"/>
                <w:sz w:val="19"/>
                <w:szCs w:val="19"/>
              </w:rPr>
              <w:t xml:space="preserve">• </w:t>
            </w:r>
            <w:hyperlink w:history="1" r:id="rId25j9o7jpgxg0cmwjozkfr">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ida9vldwc_rxe5mkqf1jb">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6.1.4.6: Оборудование для измерения динамического волнового фронта, имеющее все следующие характеристики: а) частоту кадров, равную 1 кГц или более; и б) точность волнового фронта на рассчитанной длине волны, равную /20 или менее (лучше)</w:t>
            </w:r>
          </w:p>
          <w:p>
            <w:pPr>
              <w:spacing w:after="60"/>
              <w:ind w:left="220" w:hanging="160"/>
            </w:pPr>
            <w:r>
              <w:rPr>
                <w:rFonts w:ascii="Arial" w:cs="Arial" w:eastAsia="Arial" w:hAnsi="Arial"/>
                <w:sz w:val="19"/>
                <w:szCs w:val="19"/>
              </w:rPr>
              <w:t xml:space="preserve">• </w:t>
            </w:r>
            <w:hyperlink w:history="1" r:id="rId07mqzjfmnhlx2pckufhjj">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6.2.7: Оборудование для производства, юстировки и калибровки гравиметров наземного базирования со статической точностью меньше (лучше) 0,1 миллигала</w:t>
            </w:r>
          </w:p>
          <w:p>
            <w:pPr>
              <w:spacing w:after="60"/>
            </w:pPr>
            <w:r>
              <w:rPr>
                <w:rFonts w:ascii="Arial" w:cs="Arial" w:eastAsia="Arial" w:hAnsi="Arial"/>
                <w:color w:val="5B6472"/>
                <w:sz w:val="17"/>
                <w:szCs w:val="17"/>
              </w:rPr>
              <w:t xml:space="preserve">Ещё пунктов: 12, все — на странице кода.</w:t>
            </w:r>
          </w:p>
          <w:p>
            <w:pPr>
              <w:spacing w:after="60"/>
            </w:pPr>
            <w:hyperlink w:history="1" r:id="rId7t_tift2zz8ekb0r-kntf">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w:t>
            </w:r>
            <w:hyperlink w:history="1" r:id="rIdk_aezt5ercgesyo0ibj0i">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rev8fakvab64exitms40w">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о классификации, принятые в России (28):</w:t>
            </w:r>
          </w:p>
          <w:p>
            <w:pPr>
              <w:spacing w:after="60"/>
              <w:ind w:left="220" w:hanging="160"/>
            </w:pPr>
            <w:r>
              <w:rPr>
                <w:rFonts w:ascii="Arial" w:cs="Arial" w:eastAsia="Arial" w:hAnsi="Arial"/>
                <w:sz w:val="19"/>
                <w:szCs w:val="19"/>
              </w:rPr>
              <w:t xml:space="preserve">• Электронное устройство для измерения негеометрической величины - угловой скорости колеса автомобиля. Конструктивно выполнено в виде полиамидного корпуса Г-образной формы с 3 (тремя) ребрами, в котором расположена его чувствительная часть (сенсорная головка),… (решений с таким началом описания: 4)</w:t>
            </w:r>
          </w:p>
          <w:p>
            <w:pPr>
              <w:spacing w:after="60"/>
            </w:pPr>
            <w:r>
              <w:rPr>
                <w:rFonts w:ascii="Arial" w:cs="Arial" w:eastAsia="Arial" w:hAnsi="Arial"/>
                <w:color w:val="5B6472"/>
                <w:sz w:val="17"/>
                <w:szCs w:val="17"/>
              </w:rPr>
              <w:t xml:space="preserve">В соответствии с ОПИ 1 и 6</w:t>
            </w:r>
          </w:p>
          <w:p>
            <w:pPr>
              <w:spacing w:after="60"/>
              <w:ind w:left="220" w:hanging="160"/>
            </w:pPr>
            <w:r>
              <w:rPr>
                <w:rFonts w:ascii="Arial" w:cs="Arial" w:eastAsia="Arial" w:hAnsi="Arial"/>
                <w:sz w:val="19"/>
                <w:szCs w:val="19"/>
              </w:rPr>
              <w:t xml:space="preserve">• Электронное устройство для измерения негеометрической величины - угловой скорости колеса автомобиля. Конструктивно состоит из сенсорной головки и соединительного провода со штекерным разъемом. Сенсорная головка выполнена в виде полиамидного корпуса с 3…</w:t>
            </w:r>
          </w:p>
          <w:p>
            <w:pPr>
              <w:spacing w:after="60"/>
            </w:pPr>
            <w:r>
              <w:rPr>
                <w:rFonts w:ascii="Arial" w:cs="Arial" w:eastAsia="Arial" w:hAnsi="Arial"/>
                <w:color w:val="5B6472"/>
                <w:sz w:val="17"/>
                <w:szCs w:val="17"/>
              </w:rPr>
              <w:t xml:space="preserve">В соответствии с ОПИ 1 и 6</w:t>
            </w:r>
          </w:p>
          <w:p>
            <w:pPr>
              <w:spacing w:after="60"/>
            </w:pPr>
            <w:r>
              <w:rPr>
                <w:rFonts w:ascii="Arial" w:cs="Arial" w:eastAsia="Arial" w:hAnsi="Arial"/>
                <w:color w:val="5B6472"/>
                <w:sz w:val="17"/>
                <w:szCs w:val="17"/>
              </w:rPr>
              <w:t xml:space="preserve">Ещё решений: 23, все — на странице кода.</w:t>
            </w:r>
          </w:p>
          <w:p>
            <w:pPr>
              <w:spacing w:after="60"/>
            </w:pPr>
            <w:r>
              <w:rPr>
                <w:rFonts w:ascii="Arial" w:cs="Arial" w:eastAsia="Arial" w:hAnsi="Arial"/>
                <w:b/>
                <w:bCs/>
                <w:sz w:val="19"/>
                <w:szCs w:val="19"/>
              </w:rPr>
              <w:t xml:space="preserve">Предварительные решения других стран ЕАЭС (32);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Активометр (акселерометр) представляет собой электронную часть (датчик) трехмерной акселерометрической беспроводной системы отслеживания активности коров: определение необходимого количества корма, определение больных животных и…</w:t>
            </w:r>
          </w:p>
          <w:p>
            <w:pPr>
              <w:spacing w:after="60"/>
            </w:pPr>
            <w:r>
              <w:rPr>
                <w:rFonts w:ascii="Arial" w:cs="Arial" w:eastAsia="Arial" w:hAnsi="Arial"/>
                <w:color w:val="5B6472"/>
                <w:sz w:val="17"/>
                <w:szCs w:val="17"/>
              </w:rPr>
              <w:t xml:space="preserve">В соответствии с ОПИ 1 (примечание 3 к группе 90, дополнительное примечание 1 к группе 90) и 6</w:t>
            </w:r>
          </w:p>
          <w:p>
            <w:pPr>
              <w:spacing w:after="60"/>
              <w:ind w:left="220" w:hanging="160"/>
            </w:pPr>
            <w:r>
              <w:rPr>
                <w:rFonts w:ascii="Arial" w:cs="Arial" w:eastAsia="Arial" w:hAnsi="Arial"/>
                <w:sz w:val="19"/>
                <w:szCs w:val="19"/>
              </w:rPr>
              <w:t xml:space="preserve">• Беларусь: Вибрационный предельный выключатель уровня заполнения представляет собой электронное устройство (датчик), предназначенное для контроля предельного уровня заполнения порошкообразных и гранулированных сыпучих материалов, насыпная плотность…</w:t>
            </w:r>
          </w:p>
          <w:p>
            <w:pPr>
              <w:spacing w:after="60"/>
            </w:pPr>
            <w:r>
              <w:rPr>
                <w:rFonts w:ascii="Arial" w:cs="Arial" w:eastAsia="Arial" w:hAnsi="Arial"/>
                <w:color w:val="5B6472"/>
                <w:sz w:val="17"/>
                <w:szCs w:val="17"/>
              </w:rPr>
              <w:t xml:space="preserve">В соответствии с ОПИ 1 и 6 (дополнительное примечание 1 к группе 90)</w:t>
            </w:r>
          </w:p>
          <w:p>
            <w:pPr>
              <w:spacing w:after="60"/>
              <w:ind w:left="220" w:hanging="160"/>
            </w:pPr>
            <w:r>
              <w:rPr>
                <w:rFonts w:ascii="Arial" w:cs="Arial" w:eastAsia="Arial" w:hAnsi="Arial"/>
                <w:sz w:val="19"/>
                <w:szCs w:val="19"/>
              </w:rPr>
              <w:t xml:space="preserve">• Беларусь: Емкостный предельный выключатель уровня заполнения представляет собой электронное устройство (датчик), предназначенное для контроля предельного уровня заполнения пылевидными, порошкообразными, гранулированными и зернистыми сыпучими…</w:t>
            </w:r>
          </w:p>
          <w:p>
            <w:pPr>
              <w:spacing w:after="60"/>
            </w:pPr>
            <w:r>
              <w:rPr>
                <w:rFonts w:ascii="Arial" w:cs="Arial" w:eastAsia="Arial" w:hAnsi="Arial"/>
                <w:color w:val="5B6472"/>
                <w:sz w:val="17"/>
                <w:szCs w:val="17"/>
              </w:rPr>
              <w:t xml:space="preserve">В соответствии с ОПИ 1 и 6 (дополнительное примечание 1 к группе 90)</w:t>
            </w:r>
          </w:p>
          <w:p>
            <w:pPr>
              <w:spacing w:after="60"/>
              <w:ind w:left="220" w:hanging="160"/>
            </w:pPr>
            <w:r>
              <w:rPr>
                <w:rFonts w:ascii="Arial" w:cs="Arial" w:eastAsia="Arial" w:hAnsi="Arial"/>
                <w:sz w:val="19"/>
                <w:szCs w:val="19"/>
              </w:rPr>
              <w:t xml:space="preserve">• Беларусь: Комплекс оборудования для мониторинга работы трех силовых трансформаторов печей, состоящий из измерительного оборудования (датчики и преобразователи), блока мониторингового модуля (master – ведущего устройства) и 3-х программируемых…</w:t>
            </w:r>
          </w:p>
          <w:p>
            <w:pPr>
              <w:spacing w:after="60"/>
            </w:pPr>
            <w:r>
              <w:rPr>
                <w:rFonts w:ascii="Arial" w:cs="Arial" w:eastAsia="Arial" w:hAnsi="Arial"/>
                <w:color w:val="5B6472"/>
                <w:sz w:val="17"/>
                <w:szCs w:val="17"/>
              </w:rPr>
              <w:t xml:space="preserve">В соответствии с ОПИ 1 (примечание 3 к группе 90) и 6 (Дополнительное примечание 1 к группе 90), пояснения к товарной позиции 9031</w:t>
            </w:r>
          </w:p>
          <w:p>
            <w:pPr>
              <w:spacing w:after="60"/>
              <w:ind w:left="220" w:hanging="160"/>
            </w:pPr>
            <w:r>
              <w:rPr>
                <w:rFonts w:ascii="Arial" w:cs="Arial" w:eastAsia="Arial" w:hAnsi="Arial"/>
                <w:sz w:val="19"/>
                <w:szCs w:val="19"/>
              </w:rPr>
              <w:t xml:space="preserve">• Беларусь: Ротационный предельный выключатель уровня заполнения представляет собой электронное устройство (датчик), предназначенное для контроля предельного уровня заполнения пылевидными, порошкообразными, гранулированными и зернистыми сыпучими…</w:t>
            </w:r>
          </w:p>
          <w:p>
            <w:pPr>
              <w:spacing w:after="60"/>
            </w:pPr>
            <w:r>
              <w:rPr>
                <w:rFonts w:ascii="Arial" w:cs="Arial" w:eastAsia="Arial" w:hAnsi="Arial"/>
                <w:color w:val="5B6472"/>
                <w:sz w:val="17"/>
                <w:szCs w:val="17"/>
              </w:rPr>
              <w:t xml:space="preserve">В соответствии с ОПИ 1 и 6 (дополнительное примечание 1 к группе 90)</w:t>
            </w:r>
          </w:p>
          <w:p>
            <w:pPr>
              <w:spacing w:after="60"/>
            </w:pPr>
            <w:r>
              <w:rPr>
                <w:rFonts w:ascii="Arial" w:cs="Arial" w:eastAsia="Arial" w:hAnsi="Arial"/>
                <w:color w:val="5B6472"/>
                <w:sz w:val="17"/>
                <w:szCs w:val="17"/>
              </w:rPr>
              <w:t xml:space="preserve">Ещё решений: 27, все — на странице кода.</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1apajzkmbehqa32x7pdeu">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9031803800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s0ndapql71dbewdwex-tb">
              <w:r>
                <w:rPr>
                  <w:rFonts w:ascii="Arial" w:cs="Arial" w:eastAsia="Arial" w:hAnsi="Arial"/>
                  <w:color w:val="1F5FBF"/>
                  <w:sz w:val="19"/>
                  <w:szCs w:val="19"/>
                  <w:u w:val="single"/>
                </w:rPr>
                <w:t xml:space="preserve">ТР ТС 010/2011</w:t>
              </w:r>
            </w:hyperlink>
            <w:r>
              <w:rPr>
                <w:rFonts w:ascii="Arial" w:cs="Arial" w:eastAsia="Arial" w:hAnsi="Arial"/>
                <w:sz w:val="19"/>
                <w:szCs w:val="19"/>
              </w:rPr>
              <w:t xml:space="preserve">; </w:t>
            </w:r>
            <w:hyperlink w:history="1" r:id="rIdgvvvvpxonyhk6vxp_dnjl">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qzgbcvfgkxsuoickt-hyn">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elhsocdifypuhhw8nrjhr">
              <w:r>
                <w:rPr>
                  <w:rFonts w:ascii="Arial" w:cs="Arial" w:eastAsia="Arial" w:hAnsi="Arial"/>
                  <w:color w:val="1F5FBF"/>
                  <w:sz w:val="19"/>
                  <w:szCs w:val="19"/>
                  <w:u w:val="single"/>
                </w:rPr>
                <w:t xml:space="preserve">ТР ТС 031/2012</w:t>
              </w:r>
            </w:hyperlink>
            <w:r>
              <w:rPr>
                <w:rFonts w:ascii="Arial" w:cs="Arial" w:eastAsia="Arial" w:hAnsi="Arial"/>
                <w:sz w:val="19"/>
                <w:szCs w:val="19"/>
              </w:rPr>
              <w:t xml:space="preserve">; </w:t>
            </w:r>
            <w:hyperlink w:history="1" r:id="rIdfcgj3j7e5cc4zqxvzsryu">
              <w:r>
                <w:rPr>
                  <w:rFonts w:ascii="Arial" w:cs="Arial" w:eastAsia="Arial" w:hAnsi="Arial"/>
                  <w:color w:val="1F5FBF"/>
                  <w:sz w:val="19"/>
                  <w:szCs w:val="19"/>
                  <w:u w:val="single"/>
                </w:rPr>
                <w:t xml:space="preserve">ТР ЕАЭС 050/2021</w:t>
              </w:r>
            </w:hyperlink>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e27c5ub6d9qkr_lqq1m2">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npaxoyqb9rmwahl2n0kwb">
              <w:r>
                <w:rPr>
                  <w:rFonts w:ascii="Arial" w:cs="Arial" w:eastAsia="Arial" w:hAnsi="Arial"/>
                  <w:color w:val="1F5FBF"/>
                  <w:sz w:val="19"/>
                  <w:szCs w:val="19"/>
                  <w:u w:val="single"/>
                </w:rPr>
                <w:t xml:space="preserve">ТР ТС 032/2013</w:t>
              </w:r>
            </w:hyperlink>
            <w:r>
              <w:rPr>
                <w:rFonts w:ascii="Arial" w:cs="Arial" w:eastAsia="Arial" w:hAnsi="Arial"/>
                <w:sz w:val="19"/>
                <w:szCs w:val="19"/>
              </w:rPr>
              <w:t xml:space="preserve">; </w:t>
            </w:r>
            <w:hyperlink w:history="1" r:id="rId3ztmsoolpsvuwcepcqvch">
              <w:r>
                <w:rPr>
                  <w:rFonts w:ascii="Arial" w:cs="Arial" w:eastAsia="Arial" w:hAnsi="Arial"/>
                  <w:color w:val="1F5FBF"/>
                  <w:sz w:val="19"/>
                  <w:szCs w:val="19"/>
                  <w:u w:val="single"/>
                </w:rPr>
                <w:t xml:space="preserve">ТР ЕАЭС 037/2016</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vtbbjcebe-jcwp2c4h1v">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rvsqbw6gqaapjjxvh4xh">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qimps_njd0e-ufbcugu3w">
              <w:r>
                <w:rPr>
                  <w:rFonts w:ascii="Arial" w:cs="Arial" w:eastAsia="Arial" w:hAnsi="Arial"/>
                  <w:color w:val="1F5FBF"/>
                  <w:sz w:val="19"/>
                  <w:szCs w:val="19"/>
                  <w:u w:val="single"/>
                </w:rPr>
                <w:t xml:space="preserve">Решение Коллегии ЕЭК № 1 от 14.01.2025</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и о признании… (вступило в силу 15.05.2025)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oo9caqsvjcsec9uxunxt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p>
            <w:pPr>
              <w:spacing w:after="60"/>
              <w:ind w:left="220" w:hanging="160"/>
            </w:pPr>
            <w:r>
              <w:rPr>
                <w:rFonts w:ascii="Arial" w:cs="Arial" w:eastAsia="Arial" w:hAnsi="Arial"/>
                <w:sz w:val="19"/>
                <w:szCs w:val="19"/>
              </w:rPr>
              <w:t xml:space="preserve">• </w:t>
            </w:r>
            <w:hyperlink w:history="1" r:id="rIdskai9bexujxfydr-vhvqt">
              <w:r>
                <w:rPr>
                  <w:rFonts w:ascii="Arial" w:cs="Arial" w:eastAsia="Arial" w:hAnsi="Arial"/>
                  <w:color w:val="1F5FBF"/>
                  <w:sz w:val="19"/>
                  <w:szCs w:val="19"/>
                  <w:u w:val="single"/>
                </w:rPr>
                <w:t xml:space="preserve">Решение Коллегии ЕЭК № 29 от 26.03.2024</w:t>
              </w:r>
            </w:hyperlink>
            <w:r>
              <w:rPr>
                <w:rFonts w:ascii="Arial" w:cs="Arial" w:eastAsia="Arial" w:hAnsi="Arial"/>
                <w:sz w:val="19"/>
                <w:szCs w:val="19"/>
              </w:rPr>
              <w:t xml:space="preserve"> — О перечне продукции, подлежащей обязательной оценке соответствия требованиям технического регламента Евразийского экономического союза «О безопасности продукции, предназначенной для гражданской… (вступило в силу 27.04.2024)</w:t>
            </w:r>
          </w:p>
          <w:p>
            <w:pPr>
              <w:spacing w:after="60"/>
              <w:ind w:left="220" w:hanging="160"/>
            </w:pPr>
            <w:r>
              <w:rPr>
                <w:rFonts w:ascii="Arial" w:cs="Arial" w:eastAsia="Arial" w:hAnsi="Arial"/>
                <w:sz w:val="19"/>
                <w:szCs w:val="19"/>
              </w:rPr>
              <w:t xml:space="preserve">• </w:t>
            </w:r>
            <w:hyperlink w:history="1" r:id="rIdk-ay03tp_g1dnm-bi8yim">
              <w:r>
                <w:rPr>
                  <w:rFonts w:ascii="Arial" w:cs="Arial" w:eastAsia="Arial" w:hAnsi="Arial"/>
                  <w:color w:val="1F5FBF"/>
                  <w:sz w:val="19"/>
                  <w:szCs w:val="19"/>
                  <w:u w:val="single"/>
                </w:rPr>
                <w:t xml:space="preserve">Решение Коллегии ЕЭК № 167 от 16.10.2018</w:t>
              </w:r>
            </w:hyperlink>
            <w:r>
              <w:rPr>
                <w:rFonts w:ascii="Arial" w:cs="Arial" w:eastAsia="Arial" w:hAnsi="Arial"/>
                <w:sz w:val="19"/>
                <w:szCs w:val="19"/>
              </w:rPr>
              <w:t xml:space="preserve"> — Об утверждении перечня продукции,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 (вступило в силу 18.11.2018)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https://imexp.ru/katalog/kod/9031803800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l7n74aj2qb6udo7gmvap" Type="http://schemas.openxmlformats.org/officeDocument/2006/relationships/hyperlink" Target="https://docs.eaeunion.org/documents/386/6099/" TargetMode="External"/><Relationship Id="rIdzvssju_gxhohxdirfsd1i" Type="http://schemas.openxmlformats.org/officeDocument/2006/relationships/hyperlink" Target="https://docs.eaeunion.org/documents/386/6099/" TargetMode="External"/><Relationship Id="rIdwqqcnrvbjucyuoz0cvkwz" Type="http://schemas.openxmlformats.org/officeDocument/2006/relationships/hyperlink" Target="https://eec.eaeunion.org/comission/department/deptexreg/tr/bezopMashines.php" TargetMode="External"/><Relationship Id="rIdgtrx0q8wmwivzlkbx3w-o" Type="http://schemas.openxmlformats.org/officeDocument/2006/relationships/hyperlink" Target="https://eec.eaeunion.org/comission/department/deptexreg/tr/bezopKolesnTrS.php" TargetMode="External"/><Relationship Id="rIda1amy5t3knppzsctombct" Type="http://schemas.openxmlformats.org/officeDocument/2006/relationships/hyperlink" Target="https://eec.eaeunion.org/comission/department/deptexreg/tr/%D0%A2%D0%A0-%D0%A2%D0%A1-032.php" TargetMode="External"/><Relationship Id="rIdu95qcas5ylxtm_h3zk8v6" Type="http://schemas.openxmlformats.org/officeDocument/2006/relationships/hyperlink" Target="https://eec.eaeunion.org/comission/department/deptexreg/tr/bezopSH.php" TargetMode="External"/><Relationship Id="rId-pwaaxci-alxeuvp124xq" Type="http://schemas.openxmlformats.org/officeDocument/2006/relationships/hyperlink" Target="https://eec.eaeunion.org/comission/department/deptexreg/tr/TR_EEU_037.php" TargetMode="External"/><Relationship Id="rIdein7zvm8gbrckmqojidxk" Type="http://schemas.openxmlformats.org/officeDocument/2006/relationships/hyperlink" Target="https://eec.eaeunion.org/comission/department/deptexreg/tr/TR_EAEU_050.php" TargetMode="External"/><Relationship Id="rIdpkianfuh4ek9khfzn0je-" Type="http://schemas.openxmlformats.org/officeDocument/2006/relationships/hyperlink" Target="http://publication.pravo.gov.ru/document/0001202203140039" TargetMode="External"/><Relationship Id="rIdlratwybao_am13exdtdtf" Type="http://schemas.openxmlformats.org/officeDocument/2006/relationships/hyperlink" Target="http://publication.pravo.gov.ru/document/0001202410080008" TargetMode="External"/><Relationship Id="rIdcee8apahfgnf0v5_spwvw" Type="http://schemas.openxmlformats.org/officeDocument/2006/relationships/hyperlink" Target="https://docs.eaeunion.org/documents/335/4666/" TargetMode="External"/><Relationship Id="rId5koousfreke9sihar3tsv" Type="http://schemas.openxmlformats.org/officeDocument/2006/relationships/hyperlink" Target="http://publication.pravo.gov.ru/document/0001202308040119" TargetMode="External"/><Relationship Id="rIdjmvcei37tqbch4kujxvrg" Type="http://schemas.openxmlformats.org/officeDocument/2006/relationships/hyperlink" Target="https://eur-lex.europa.eu/eli/reg/2014/833/oj/eng" TargetMode="External"/><Relationship Id="rIdpcfxfx7jg1jkmrv65zqso" Type="http://schemas.openxmlformats.org/officeDocument/2006/relationships/hyperlink" Target="https://www.legislation.gov.uk/uksi/2019/855/contents" TargetMode="External"/><Relationship Id="rId0ja_vnrgzoofllfkcrlwn" Type="http://schemas.openxmlformats.org/officeDocument/2006/relationships/hyperlink" Target="https://www.ecfr.gov/current/title-15/subtitle-B/chapter-VII/subchapter-C/part-746" TargetMode="External"/><Relationship Id="rIddmrueg7s8qevatllwziof" Type="http://schemas.openxmlformats.org/officeDocument/2006/relationships/hyperlink" Target="http://publication.pravo.gov.ru/document/0001202308040119" TargetMode="External"/><Relationship Id="rIdxgmnfrtwvucs9tikbzcsn" Type="http://schemas.openxmlformats.org/officeDocument/2006/relationships/hyperlink" Target="https://docs.eaeunion.org/documents/386/6099/" TargetMode="External"/><Relationship Id="rIdzs425zx4y3bfkku2fkfj_" Type="http://schemas.openxmlformats.org/officeDocument/2006/relationships/hyperlink" Target="https://docs.eaeunion.org/documents/317/2804/" TargetMode="External"/><Relationship Id="rId0qvsizp3xxwqb9_ok19iu" Type="http://schemas.openxmlformats.org/officeDocument/2006/relationships/hyperlink" Target="http://publication.pravo.gov.ru/document/0001201510050001" TargetMode="External"/><Relationship Id="rIdnvwg3djxwzxbjmsulp4dt" Type="http://schemas.openxmlformats.org/officeDocument/2006/relationships/hyperlink" Target="http://publication.pravo.gov.ru/document/0001202411290098" TargetMode="External"/><Relationship Id="rIdrw1iptirf8aa-rqvqwtj-" Type="http://schemas.openxmlformats.org/officeDocument/2006/relationships/hyperlink" Target="http://publication.pravo.gov.ru/document/0001201805040007" TargetMode="External"/><Relationship Id="rIdczacbii4d77cakijvaxbp" Type="http://schemas.openxmlformats.org/officeDocument/2006/relationships/hyperlink" Target="https://eec.eaeunion.org/comission/department/deptexreg/tr/bezopMashines.php" TargetMode="External"/><Relationship Id="rIdcnvja-kjp6n2qwf0yintn" Type="http://schemas.openxmlformats.org/officeDocument/2006/relationships/hyperlink" Target="https://eec.eaeunion.org/comission/department/deptexreg/tr/bezopKolesnTrS.php" TargetMode="External"/><Relationship Id="rIdynvycebneef2twpbnen1j" Type="http://schemas.openxmlformats.org/officeDocument/2006/relationships/hyperlink" Target="https://eec.eaeunion.org/comission/department/deptexreg/tr/%D0%A2%D0%A0-%D0%A2%D0%A1-032.php" TargetMode="External"/><Relationship Id="rIdvktosfa6ywmszu1axh-yd" Type="http://schemas.openxmlformats.org/officeDocument/2006/relationships/hyperlink" Target="https://eec.eaeunion.org/comission/department/deptexreg/tr/bezopSH.php" TargetMode="External"/><Relationship Id="rIdauhbwqeluvjd2ayqruuyq" Type="http://schemas.openxmlformats.org/officeDocument/2006/relationships/hyperlink" Target="https://eec.eaeunion.org/comission/department/deptexreg/tr/TR_EEU_037.php" TargetMode="External"/><Relationship Id="rIdcz_ktvdzd_2ord5eg0qyc" Type="http://schemas.openxmlformats.org/officeDocument/2006/relationships/hyperlink" Target="https://eec.eaeunion.org/comission/department/deptexreg/tr/TR_EAEU_050.php" TargetMode="External"/><Relationship Id="rIdhfngafdhegr-vzn-plstp" Type="http://schemas.openxmlformats.org/officeDocument/2006/relationships/hyperlink" Target="https://eec.eaeunion.org/comission/department/deptexreg/tr/EMS.php" TargetMode="External"/><Relationship Id="rIdmhw9v9powube0pwlt2kt0" Type="http://schemas.openxmlformats.org/officeDocument/2006/relationships/hyperlink" Target="https://eec.eaeunion.org/comission/department/deptexreg/tr/Down_Volt.php" TargetMode="External"/><Relationship Id="rIdtkguhpxr0hxore_sdqund" Type="http://schemas.openxmlformats.org/officeDocument/2006/relationships/hyperlink" Target="https://eec.eaeunion.org/comission/department/deptexreg/tr/bezopKolesnTrS.php" TargetMode="External"/><Relationship Id="rIdqobnlrdf2yj97x-modmot" Type="http://schemas.openxmlformats.org/officeDocument/2006/relationships/hyperlink" Target="https://docs.eaeunion.org/documents/335/4666/" TargetMode="External"/><Relationship Id="rIdv-a_x485wi1fwzkqckjli" Type="http://schemas.openxmlformats.org/officeDocument/2006/relationships/hyperlink" Target="http://publication.pravo.gov.ru/document/0001202207220041" TargetMode="External"/><Relationship Id="rIdtjq64cmmapdprmzg1fuar" Type="http://schemas.openxmlformats.org/officeDocument/2006/relationships/hyperlink" Target="http://publication.pravo.gov.ru/document/0001202207220041" TargetMode="External"/><Relationship Id="rId25j9o7jpgxg0cmwjozkfr" Type="http://schemas.openxmlformats.org/officeDocument/2006/relationships/hyperlink" Target="http://publication.pravo.gov.ru/document/0001202207220041" TargetMode="External"/><Relationship Id="rIdida9vldwc_rxe5mkqf1jb" Type="http://schemas.openxmlformats.org/officeDocument/2006/relationships/hyperlink" Target="http://publication.pravo.gov.ru/document/0001202207220041" TargetMode="External"/><Relationship Id="rId07mqzjfmnhlx2pckufhjj" Type="http://schemas.openxmlformats.org/officeDocument/2006/relationships/hyperlink" Target="http://publication.pravo.gov.ru/document/0001202207220041" TargetMode="External"/><Relationship Id="rId7t_tift2zz8ekb0r-kntf" Type="http://schemas.openxmlformats.org/officeDocument/2006/relationships/hyperlink" Target="http://publication.pravo.gov.ru/document/0001202207220041" TargetMode="External"/><Relationship Id="rIdk_aezt5ercgesyo0ibj0i" Type="http://schemas.openxmlformats.org/officeDocument/2006/relationships/hyperlink" Target="http://publication.pravo.gov.ru/document/0001202207190036" TargetMode="External"/><Relationship Id="rIdrev8fakvab64exitms40w" Type="http://schemas.openxmlformats.org/officeDocument/2006/relationships/hyperlink" Target="http://publication.pravo.gov.ru/document/0001202207190018" TargetMode="External"/><Relationship Id="rId1apajzkmbehqa32x7pdeu" Type="http://schemas.openxmlformats.org/officeDocument/2006/relationships/hyperlink" Target="https://docs.eaeunion.org/documents/253/3575/" TargetMode="External"/><Relationship Id="rIds0ndapql71dbewdwex-tb" Type="http://schemas.openxmlformats.org/officeDocument/2006/relationships/hyperlink" Target="https://eec.eaeunion.org/comission/department/deptexreg/tr/bezopMashines.php" TargetMode="External"/><Relationship Id="rIdgvvvvpxonyhk6vxp_dnjl" Type="http://schemas.openxmlformats.org/officeDocument/2006/relationships/hyperlink" Target="https://eec.eaeunion.org/comission/department/deptexreg/tr/bezopKolesnTrS.php" TargetMode="External"/><Relationship Id="rIdqzgbcvfgkxsuoickt-hyn" Type="http://schemas.openxmlformats.org/officeDocument/2006/relationships/hyperlink" Target="https://eec.eaeunion.org/comission/department/deptexreg/tr/%D0%A2%D0%A0-%D0%A2%D0%A1-032.php" TargetMode="External"/><Relationship Id="rIdelhsocdifypuhhw8nrjhr" Type="http://schemas.openxmlformats.org/officeDocument/2006/relationships/hyperlink" Target="https://eec.eaeunion.org/comission/department/deptexreg/tr/bezopSH.php" TargetMode="External"/><Relationship Id="rIdfcgj3j7e5cc4zqxvzsryu" Type="http://schemas.openxmlformats.org/officeDocument/2006/relationships/hyperlink" Target="https://eec.eaeunion.org/comission/department/deptexreg/tr/TR_EAEU_050.php" TargetMode="External"/><Relationship Id="rIdke27c5ub6d9qkr_lqq1m2" Type="http://schemas.openxmlformats.org/officeDocument/2006/relationships/hyperlink" Target="https://eec.eaeunion.org/comission/department/deptexreg/tr/bezopKolesnTrS.php" TargetMode="External"/><Relationship Id="rIdnpaxoyqb9rmwahl2n0kwb" Type="http://schemas.openxmlformats.org/officeDocument/2006/relationships/hyperlink" Target="https://eec.eaeunion.org/comission/department/deptexreg/tr/%D0%A2%D0%A0-%D0%A2%D0%A1-032.php" TargetMode="External"/><Relationship Id="rId3ztmsoolpsvuwcepcqvch" Type="http://schemas.openxmlformats.org/officeDocument/2006/relationships/hyperlink" Target="https://eec.eaeunion.org/comission/department/deptexreg/tr/TR_EEU_037.php" TargetMode="External"/><Relationship Id="rIdrvtbbjcebe-jcwp2c4h1v" Type="http://schemas.openxmlformats.org/officeDocument/2006/relationships/hyperlink" Target="https://docs.eaeunion.org/documents/214/946/" TargetMode="External"/><Relationship Id="rId8rvsqbw6gqaapjjxvh4xh" Type="http://schemas.openxmlformats.org/officeDocument/2006/relationships/hyperlink" Target="https://docs.eaeunion.org/documents/208/8939/" TargetMode="External"/><Relationship Id="rIdqimps_njd0e-ufbcugu3w" Type="http://schemas.openxmlformats.org/officeDocument/2006/relationships/hyperlink" Target="https://docs.eaeunion.org/documents/446/9811/" TargetMode="External"/><Relationship Id="rIdoo9caqsvjcsec9uxunxtm" Type="http://schemas.openxmlformats.org/officeDocument/2006/relationships/hyperlink" Target="https://docs.eaeunion.org/documents/447/9823/" TargetMode="External"/><Relationship Id="rIdskai9bexujxfydr-vhvqt" Type="http://schemas.openxmlformats.org/officeDocument/2006/relationships/hyperlink" Target="https://docs.eaeunion.org/documents/429/8014/" TargetMode="External"/><Relationship Id="rIdk-ay03tp_g1dnm-bi8yim" Type="http://schemas.openxmlformats.org/officeDocument/2006/relationships/hyperlink" Target="https://docs.eaeunion.org/documents/253/3910/" TargetMode="External"/><Relationship Id="rId6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9031 80 380 0</dc:title>
  <dc:creator>IMEXP</dc:creator>
  <cp:lastModifiedBy>Un-named</cp:lastModifiedBy>
  <cp:revision>1</cp:revision>
  <dcterms:created xsi:type="dcterms:W3CDTF">2026-10-31T23:31:30.324Z</dcterms:created>
  <dcterms:modified xsi:type="dcterms:W3CDTF">2026-10-31T23:31:30.324Z</dcterms:modified>
</cp:coreProperties>
</file>

<file path=docProps/custom.xml><?xml version="1.0" encoding="utf-8"?>
<Properties xmlns="http://schemas.openxmlformats.org/officeDocument/2006/custom-properties" xmlns:vt="http://schemas.openxmlformats.org/officeDocument/2006/docPropsVTypes"/>
</file>