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pPr>
      <w:r>
        <w:rPr>
          <w:rFonts w:ascii="Arial" w:cs="Arial" w:eastAsia="Arial" w:hAnsi="Arial"/>
          <w:b/>
          <w:bCs/>
          <w:sz w:val="30"/>
          <w:szCs w:val="30"/>
        </w:rPr>
        <w:t xml:space="preserve">Справка о товаре: ввоз в Россию</w:t>
      </w:r>
    </w:p>
    <w:p>
      <w:pPr>
        <w:spacing w:after="80"/>
      </w:pPr>
      <w:r>
        <w:rPr>
          <w:rFonts w:ascii="Arial" w:cs="Arial" w:eastAsia="Arial" w:hAnsi="Arial"/>
          <w:b/>
          <w:bCs/>
          <w:sz w:val="24"/>
          <w:szCs w:val="24"/>
        </w:rPr>
        <w:t xml:space="preserve">Код ТН ВЭД ЕАЭС 9031 80 980 0</w:t>
      </w:r>
    </w:p>
    <w:p>
      <w:pPr>
        <w:spacing w:after="200"/>
      </w:pPr>
      <w:r>
        <w:rPr>
          <w:rFonts w:ascii="Arial" w:cs="Arial" w:eastAsia="Arial" w:hAnsi="Arial"/>
          <w:color w:val="5B6472"/>
          <w:sz w:val="19"/>
          <w:szCs w:val="19"/>
        </w:rPr>
        <w:t xml:space="preserve">Сведения на 09.11.2026</w:t>
      </w:r>
    </w:p>
    <w:tbl>
      <w:tblPr>
        <w:tblW w:type="dxa" w:w="10204"/>
        <w:tblBorders>
          <w:top w:val="single" w:color="C9CFD8" w:sz="4"/>
          <w:left w:val="single" w:color="C9CFD8" w:sz="4"/>
          <w:bottom w:val="single" w:color="C9CFD8" w:sz="4"/>
          <w:right w:val="single" w:color="C9CFD8" w:sz="4"/>
          <w:insideH w:val="single" w:color="C9CFD8" w:sz="4"/>
          <w:insideV w:val="single" w:color="C9CFD8" w:sz="4"/>
        </w:tblBorders>
      </w:tblPr>
      <w:tblGrid>
        <w:gridCol w:w="2600"/>
        <w:gridCol w:w="7604"/>
      </w:tblGrid>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Наименование</w:t>
            </w:r>
          </w:p>
        </w:tc>
        <w:tc>
          <w:tcPr>
            <w:tcW w:type="dxa" w:w="7604"/>
            <w:tcMar>
              <w:top w:type="dxa" w:w="80"/>
              <w:left w:type="dxa" w:w="120"/>
              <w:bottom w:type="dxa" w:w="80"/>
              <w:right w:type="dxa" w:w="120"/>
            </w:tcMar>
          </w:tcPr>
          <w:p>
            <w:pPr>
              <w:spacing w:after="60"/>
            </w:pPr>
            <w:r>
              <w:rPr>
                <w:rFonts w:ascii="Arial" w:cs="Arial" w:eastAsia="Arial" w:hAnsi="Arial"/>
                <w:color w:val="5B6472"/>
                <w:sz w:val="17"/>
                <w:szCs w:val="17"/>
              </w:rPr>
              <w:t xml:space="preserve">Раздел XVIII. Инструменты и аппараты оптические, фотографические, кинематографические, измерительные, контрольные, прецизионные, медицинские или хирургические; часы всех видов; музыкальные инструменты; их части и принадлежности</w:t>
            </w:r>
          </w:p>
          <w:p>
            <w:pPr>
              <w:spacing w:after="60"/>
            </w:pPr>
            <w:r>
              <w:rPr>
                <w:rFonts w:ascii="Arial" w:cs="Arial" w:eastAsia="Arial" w:hAnsi="Arial"/>
                <w:color w:val="5B6472"/>
                <w:sz w:val="17"/>
                <w:szCs w:val="17"/>
              </w:rPr>
              <w:t xml:space="preserve">90 — ИНСТРУМЕНТЫ И АППАРАТЫ ОПТИЧЕСКИЕ, ФОТОГРАФИЧЕСКИЕ, КИНЕМАТОГРАФИЧЕСКИЕ, ИЗМЕРИТЕЛЬНЫЕ, КОНТРОЛЬНЫЕ, ПРЕЦИЗИОННЫЕ, МЕДИЦИНСКИЕ ИЛИ ХИРУРГИЧЕСКИЕ; ИХ ЧАСТИ И ПРИНАДЛЕЖНОСТИ</w:t>
            </w:r>
          </w:p>
          <w:p>
            <w:pPr>
              <w:spacing w:after="60"/>
            </w:pPr>
            <w:r>
              <w:rPr>
                <w:rFonts w:ascii="Arial" w:cs="Arial" w:eastAsia="Arial" w:hAnsi="Arial"/>
                <w:color w:val="5B6472"/>
                <w:sz w:val="17"/>
                <w:szCs w:val="17"/>
              </w:rPr>
              <w:t xml:space="preserve">9031 — Измерительные или контрольные приборы, устройства и машины, в другом месте данной группы не поименованные или не включенные; проекторы профильные</w:t>
            </w:r>
          </w:p>
          <w:p>
            <w:pPr>
              <w:spacing w:after="60"/>
            </w:pPr>
            <w:r>
              <w:rPr>
                <w:rFonts w:ascii="Arial" w:cs="Arial" w:eastAsia="Arial" w:hAnsi="Arial"/>
                <w:color w:val="5B6472"/>
                <w:sz w:val="17"/>
                <w:szCs w:val="17"/>
              </w:rPr>
              <w:t xml:space="preserve">9031 80 — Приборы, устройства и машины прочие</w:t>
            </w:r>
          </w:p>
          <w:p>
            <w:pPr>
              <w:spacing w:after="60"/>
            </w:pPr>
            <w:r>
              <w:rPr>
                <w:rFonts w:ascii="Arial" w:cs="Arial" w:eastAsia="Arial" w:hAnsi="Arial"/>
                <w:color w:val="5B6472"/>
                <w:sz w:val="17"/>
                <w:szCs w:val="17"/>
              </w:rPr>
              <w:t xml:space="preserve">9031 80 98 — Приборы, устройства и машины прочие: прочие: прочие</w:t>
            </w:r>
          </w:p>
          <w:p>
            <w:pPr>
              <w:spacing w:after="60"/>
            </w:pPr>
            <w:r>
              <w:rPr>
                <w:rFonts w:ascii="Arial" w:cs="Arial" w:eastAsia="Arial" w:hAnsi="Arial"/>
                <w:b/>
                <w:bCs/>
                <w:sz w:val="19"/>
                <w:szCs w:val="19"/>
              </w:rPr>
              <w:t xml:space="preserve">9031 80 980 0 — Приборы, устройства и машины прочие: прочие: прочие</w:t>
            </w:r>
          </w:p>
          <w:p>
            <w:pPr>
              <w:spacing w:after="60"/>
            </w:pPr>
            <w:r>
              <w:rPr>
                <w:rFonts w:ascii="Arial" w:cs="Arial" w:eastAsia="Arial" w:hAnsi="Arial"/>
                <w:color w:val="5B6472"/>
                <w:sz w:val="17"/>
                <w:szCs w:val="17"/>
              </w:rPr>
              <w:t xml:space="preserve">Основание: Единая товарная номенклатура ВЭД ЕАЭС, </w:t>
            </w:r>
            <w:hyperlink w:history="1" r:id="rId-kbfsmvslee-qgzqumwcw">
              <w:r>
                <w:rPr>
                  <w:rFonts w:ascii="Arial" w:cs="Arial" w:eastAsia="Arial" w:hAnsi="Arial"/>
                  <w:color w:val="1F5FBF"/>
                  <w:sz w:val="17"/>
                  <w:szCs w:val="17"/>
                  <w:u w:val="single"/>
                </w:rPr>
                <w:t xml:space="preserve">Решение Совета ЕЭК от 14.09.2021 № 80</w:t>
              </w:r>
            </w:hyperlink>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Дополнительная единица измерения</w:t>
            </w:r>
          </w:p>
        </w:tc>
        <w:tc>
          <w:tcPr>
            <w:tcW w:type="dxa" w:w="7604"/>
            <w:tcMar>
              <w:top w:type="dxa" w:w="80"/>
              <w:left w:type="dxa" w:w="120"/>
              <w:bottom w:type="dxa" w:w="80"/>
              <w:right w:type="dxa" w:w="120"/>
            </w:tcMar>
          </w:tcPr>
          <w:p>
            <w:pPr>
              <w:spacing w:after="60"/>
            </w:pPr>
            <w:r>
              <w:rPr>
                <w:rFonts w:ascii="Arial" w:cs="Arial" w:eastAsia="Arial" w:hAnsi="Arial"/>
                <w:sz w:val="19"/>
                <w:szCs w:val="19"/>
              </w:rPr>
              <w:t xml:space="preserve">шт</w:t>
            </w:r>
          </w:p>
          <w:p>
            <w:pPr>
              <w:spacing w:after="60"/>
            </w:pPr>
            <w:r>
              <w:rPr>
                <w:rFonts w:ascii="Arial" w:cs="Arial" w:eastAsia="Arial" w:hAnsi="Arial"/>
                <w:color w:val="5B6472"/>
                <w:sz w:val="17"/>
                <w:szCs w:val="17"/>
              </w:rPr>
              <w:t xml:space="preserve">Основание: Единая товарная номенклатура ВЭД ЕАЭС, </w:t>
            </w:r>
            <w:hyperlink w:history="1" r:id="rIdzvzouuhiwyantizwdufqk">
              <w:r>
                <w:rPr>
                  <w:rFonts w:ascii="Arial" w:cs="Arial" w:eastAsia="Arial" w:hAnsi="Arial"/>
                  <w:color w:val="1F5FBF"/>
                  <w:sz w:val="17"/>
                  <w:szCs w:val="17"/>
                  <w:u w:val="single"/>
                </w:rPr>
                <w:t xml:space="preserve">Решение Совета ЕЭК от 14.09.2021 № 80</w:t>
              </w:r>
            </w:hyperlink>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Какие документы нужны при ввозе</w:t>
            </w:r>
          </w:p>
        </w:tc>
        <w:tc>
          <w:tcPr>
            <w:tcW w:type="dxa" w:w="7604"/>
            <w:tcMar>
              <w:top w:type="dxa" w:w="80"/>
              <w:left w:type="dxa" w:w="120"/>
              <w:bottom w:type="dxa" w:w="80"/>
              <w:right w:type="dxa" w:w="120"/>
            </w:tcMar>
          </w:tcPr>
          <w:p>
            <w:pPr>
              <w:spacing w:after="60"/>
              <w:ind w:left="220" w:hanging="160"/>
            </w:pPr>
            <w:r>
              <w:rPr>
                <w:rFonts w:ascii="Arial" w:cs="Arial" w:eastAsia="Arial" w:hAnsi="Arial"/>
                <w:sz w:val="19"/>
                <w:szCs w:val="19"/>
              </w:rPr>
              <w:t xml:space="preserve">• Сертификат соответствия — </w:t>
            </w:r>
            <w:hyperlink w:history="1" r:id="rIdtmmzak5rdmssy_btfd8cn">
              <w:r>
                <w:rPr>
                  <w:rFonts w:ascii="Arial" w:cs="Arial" w:eastAsia="Arial" w:hAnsi="Arial"/>
                  <w:color w:val="1F5FBF"/>
                  <w:sz w:val="19"/>
                  <w:szCs w:val="19"/>
                  <w:u w:val="single"/>
                </w:rPr>
                <w:t xml:space="preserve">ТР ТС 010/2011</w:t>
              </w:r>
            </w:hyperlink>
            <w:r>
              <w:rPr>
                <w:rFonts w:ascii="Arial" w:cs="Arial" w:eastAsia="Arial" w:hAnsi="Arial"/>
                <w:sz w:val="19"/>
                <w:szCs w:val="19"/>
              </w:rPr>
              <w:t xml:space="preserve"> (касается части товаров кода)</w:t>
            </w:r>
          </w:p>
          <w:p>
            <w:pPr>
              <w:spacing w:after="60"/>
              <w:ind w:left="220" w:hanging="160"/>
            </w:pPr>
            <w:r>
              <w:rPr>
                <w:rFonts w:ascii="Arial" w:cs="Arial" w:eastAsia="Arial" w:hAnsi="Arial"/>
                <w:sz w:val="19"/>
                <w:szCs w:val="19"/>
              </w:rPr>
              <w:t xml:space="preserve">• Сертификат соответствия или Декларация о соответствии — </w:t>
            </w:r>
            <w:hyperlink w:history="1" r:id="rIdsfizrwjx1qkiqudqxdbeo">
              <w:r>
                <w:rPr>
                  <w:rFonts w:ascii="Arial" w:cs="Arial" w:eastAsia="Arial" w:hAnsi="Arial"/>
                  <w:color w:val="1F5FBF"/>
                  <w:sz w:val="19"/>
                  <w:szCs w:val="19"/>
                  <w:u w:val="single"/>
                </w:rPr>
                <w:t xml:space="preserve">ТР ТС 018/2011</w:t>
              </w:r>
            </w:hyperlink>
          </w:p>
          <w:p>
            <w:pPr>
              <w:spacing w:after="60"/>
              <w:ind w:left="220" w:hanging="160"/>
            </w:pPr>
            <w:r>
              <w:rPr>
                <w:rFonts w:ascii="Arial" w:cs="Arial" w:eastAsia="Arial" w:hAnsi="Arial"/>
                <w:sz w:val="19"/>
                <w:szCs w:val="19"/>
              </w:rPr>
              <w:t xml:space="preserve">• Декларация о соответствии или Сертификат соответствия — </w:t>
            </w:r>
            <w:hyperlink w:history="1" r:id="rId1oaf0p8wv2881di5omj2p">
              <w:r>
                <w:rPr>
                  <w:rFonts w:ascii="Arial" w:cs="Arial" w:eastAsia="Arial" w:hAnsi="Arial"/>
                  <w:color w:val="1F5FBF"/>
                  <w:sz w:val="19"/>
                  <w:szCs w:val="19"/>
                  <w:u w:val="single"/>
                </w:rPr>
                <w:t xml:space="preserve">ТР ТС 032/2013</w:t>
              </w:r>
            </w:hyperlink>
          </w:p>
          <w:p>
            <w:pPr>
              <w:spacing w:after="60"/>
              <w:ind w:left="220" w:hanging="160"/>
            </w:pPr>
            <w:r>
              <w:rPr>
                <w:rFonts w:ascii="Arial" w:cs="Arial" w:eastAsia="Arial" w:hAnsi="Arial"/>
                <w:sz w:val="19"/>
                <w:szCs w:val="19"/>
              </w:rPr>
              <w:t xml:space="preserve">• Сертификат соответствия — Постановление № 2425 (касается части товаров кода)</w:t>
            </w:r>
          </w:p>
          <w:p>
            <w:pPr>
              <w:spacing w:after="60"/>
              <w:ind w:left="220" w:hanging="160"/>
            </w:pPr>
            <w:r>
              <w:rPr>
                <w:rFonts w:ascii="Arial" w:cs="Arial" w:eastAsia="Arial" w:hAnsi="Arial"/>
                <w:sz w:val="19"/>
                <w:szCs w:val="19"/>
              </w:rPr>
              <w:t xml:space="preserve">• Сертификат соответствия — </w:t>
            </w:r>
            <w:hyperlink w:history="1" r:id="rIdgblj0vjieesvsbfm1kwew">
              <w:r>
                <w:rPr>
                  <w:rFonts w:ascii="Arial" w:cs="Arial" w:eastAsia="Arial" w:hAnsi="Arial"/>
                  <w:color w:val="1F5FBF"/>
                  <w:sz w:val="19"/>
                  <w:szCs w:val="19"/>
                  <w:u w:val="single"/>
                </w:rPr>
                <w:t xml:space="preserve">ТР ТС 031/2012</w:t>
              </w:r>
            </w:hyperlink>
          </w:p>
          <w:p>
            <w:pPr>
              <w:spacing w:after="60"/>
              <w:ind w:left="220" w:hanging="160"/>
            </w:pPr>
            <w:r>
              <w:rPr>
                <w:rFonts w:ascii="Arial" w:cs="Arial" w:eastAsia="Arial" w:hAnsi="Arial"/>
                <w:sz w:val="19"/>
                <w:szCs w:val="19"/>
              </w:rPr>
              <w:t xml:space="preserve">• Сертификат соответствия — </w:t>
            </w:r>
            <w:hyperlink w:history="1" r:id="rIdc0cq2wuq3t7thxl4d_uw0">
              <w:r>
                <w:rPr>
                  <w:rFonts w:ascii="Arial" w:cs="Arial" w:eastAsia="Arial" w:hAnsi="Arial"/>
                  <w:color w:val="1F5FBF"/>
                  <w:sz w:val="19"/>
                  <w:szCs w:val="19"/>
                  <w:u w:val="single"/>
                </w:rPr>
                <w:t xml:space="preserve">ТР ЕАЭС 050/2021</w:t>
              </w:r>
            </w:hyperlink>
          </w:p>
          <w:p>
            <w:pPr>
              <w:spacing w:after="60"/>
              <w:ind w:left="220" w:hanging="160"/>
            </w:pPr>
            <w:r>
              <w:rPr>
                <w:rFonts w:ascii="Arial" w:cs="Arial" w:eastAsia="Arial" w:hAnsi="Arial"/>
                <w:sz w:val="19"/>
                <w:szCs w:val="19"/>
              </w:rPr>
              <w:t xml:space="preserve">• Декларация на собственных доказательствах (вместо сертификата) — </w:t>
            </w:r>
            <w:hyperlink w:history="1" r:id="rIdrjibhosggexsza3iwnsxn">
              <w:r>
                <w:rPr>
                  <w:rFonts w:ascii="Arial" w:cs="Arial" w:eastAsia="Arial" w:hAnsi="Arial"/>
                  <w:color w:val="1F5FBF"/>
                  <w:sz w:val="19"/>
                  <w:szCs w:val="19"/>
                  <w:u w:val="single"/>
                </w:rPr>
                <w:t xml:space="preserve">Постановление Правительства РФ № 353</w:t>
              </w:r>
            </w:hyperlink>
            <w:r>
              <w:rPr>
                <w:rFonts w:ascii="Arial" w:cs="Arial" w:eastAsia="Arial" w:hAnsi="Arial"/>
                <w:sz w:val="19"/>
                <w:szCs w:val="19"/>
              </w:rPr>
              <w:t xml:space="preserve">, приложение № 18, пункт 6 (до 01.09.2027, если товара нет в </w:t>
            </w:r>
            <w:hyperlink w:history="1" r:id="rIdpzvt3duv370txrodctwxf">
              <w:r>
                <w:rPr>
                  <w:rFonts w:ascii="Arial" w:cs="Arial" w:eastAsia="Arial" w:hAnsi="Arial"/>
                  <w:color w:val="1F5FBF"/>
                  <w:sz w:val="19"/>
                  <w:szCs w:val="19"/>
                  <w:u w:val="single"/>
                </w:rPr>
                <w:t xml:space="preserve">приказе Минпромторга № 4114</w:t>
              </w:r>
            </w:hyperlink>
            <w:r>
              <w:rPr>
                <w:rFonts w:ascii="Arial" w:cs="Arial" w:eastAsia="Arial" w:hAnsi="Arial"/>
                <w:sz w:val="19"/>
                <w:szCs w:val="19"/>
              </w:rPr>
              <w:t xml:space="preserve">: код в приказе назван, и решает наименование)</w:t>
            </w:r>
          </w:p>
          <w:p>
            <w:pPr>
              <w:spacing w:after="60"/>
              <w:ind w:left="220" w:hanging="160"/>
            </w:pPr>
            <w:r>
              <w:rPr>
                <w:rFonts w:ascii="Arial" w:cs="Arial" w:eastAsia="Arial" w:hAnsi="Arial"/>
                <w:sz w:val="19"/>
                <w:szCs w:val="19"/>
              </w:rPr>
              <w:t xml:space="preserve">• Санитарно-эпидемиологический надзор — </w:t>
            </w:r>
            <w:hyperlink w:history="1" r:id="rIdx0pztdnrmv6euw4mlosm-">
              <w:r>
                <w:rPr>
                  <w:rFonts w:ascii="Arial" w:cs="Arial" w:eastAsia="Arial" w:hAnsi="Arial"/>
                  <w:color w:val="1F5FBF"/>
                  <w:sz w:val="19"/>
                  <w:szCs w:val="19"/>
                  <w:u w:val="single"/>
                </w:rPr>
                <w:t xml:space="preserve">Решение Коллегии Евразийской экономической комиссии от 17.09.2019 № 154</w:t>
              </w:r>
            </w:hyperlink>
            <w:r>
              <w:rPr>
                <w:rFonts w:ascii="Arial" w:cs="Arial" w:eastAsia="Arial" w:hAnsi="Arial"/>
                <w:sz w:val="19"/>
                <w:szCs w:val="19"/>
              </w:rPr>
              <w:t xml:space="preserve"> (касается части товаров кода)</w:t>
            </w:r>
          </w:p>
          <w:p>
            <w:pPr>
              <w:spacing w:after="60"/>
              <w:ind w:left="220" w:hanging="160"/>
            </w:pPr>
            <w:r>
              <w:rPr>
                <w:rFonts w:ascii="Arial" w:cs="Arial" w:eastAsia="Arial" w:hAnsi="Arial"/>
                <w:sz w:val="19"/>
                <w:szCs w:val="19"/>
              </w:rPr>
              <w:t xml:space="preserve">• Ввоз без согласия правообладателя (параллельный импорт) — </w:t>
            </w:r>
            <w:hyperlink w:history="1" r:id="rIdvdq3k-4zkqu8u2g51ruif">
              <w:r>
                <w:rPr>
                  <w:rFonts w:ascii="Arial" w:cs="Arial" w:eastAsia="Arial" w:hAnsi="Arial"/>
                  <w:color w:val="1F5FBF"/>
                  <w:sz w:val="19"/>
                  <w:szCs w:val="19"/>
                  <w:u w:val="single"/>
                </w:rPr>
                <w:t xml:space="preserve">Приказ Минпромторга России № 2701</w:t>
              </w:r>
            </w:hyperlink>
            <w:r>
              <w:rPr>
                <w:rFonts w:ascii="Arial" w:cs="Arial" w:eastAsia="Arial" w:hAnsi="Arial"/>
                <w:sz w:val="19"/>
                <w:szCs w:val="19"/>
              </w:rPr>
              <w:t xml:space="preserve">, пункты 412 и 432 (только для товарных знаков из перечня)</w:t>
            </w:r>
          </w:p>
          <w:p>
            <w:pPr>
              <w:spacing w:after="60"/>
              <w:ind w:left="220" w:hanging="160"/>
            </w:pPr>
            <w:r>
              <w:rPr>
                <w:rFonts w:ascii="Arial" w:cs="Arial" w:eastAsia="Arial" w:hAnsi="Arial"/>
                <w:sz w:val="19"/>
                <w:szCs w:val="19"/>
              </w:rPr>
              <w:t xml:space="preserve">• Не товар для личного пользования — </w:t>
            </w:r>
            <w:hyperlink w:history="1" r:id="rIdfc-fkyxlu0_g5mopeocee">
              <w:r>
                <w:rPr>
                  <w:rFonts w:ascii="Arial" w:cs="Arial" w:eastAsia="Arial" w:hAnsi="Arial"/>
                  <w:color w:val="1F5FBF"/>
                  <w:sz w:val="19"/>
                  <w:szCs w:val="19"/>
                  <w:u w:val="single"/>
                </w:rPr>
                <w:t xml:space="preserve">Решение Совета ЕЭК № 107</w:t>
              </w:r>
            </w:hyperlink>
            <w:r>
              <w:rPr>
                <w:rFonts w:ascii="Arial" w:cs="Arial" w:eastAsia="Arial" w:hAnsi="Arial"/>
                <w:sz w:val="19"/>
                <w:szCs w:val="19"/>
              </w:rPr>
              <w:t xml:space="preserve">, приложение № 6, пункт 12 (машины, механизмы и оборудование из перечня пункта 12, кроме названных в нём бытовых) (касается физлиц: такой товар перемещают как коммерческий груз)</w:t>
            </w:r>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Запреты других стран</w:t>
            </w:r>
          </w:p>
        </w:tc>
        <w:tc>
          <w:tcPr>
            <w:tcW w:type="dxa" w:w="7604"/>
            <w:tcMar>
              <w:top w:type="dxa" w:w="80"/>
              <w:left w:type="dxa" w:w="120"/>
              <w:bottom w:type="dxa" w:w="80"/>
              <w:right w:type="dxa" w:w="120"/>
            </w:tcMar>
          </w:tcPr>
          <w:p>
            <w:pPr>
              <w:spacing w:after="60"/>
            </w:pPr>
            <w:r>
              <w:rPr>
                <w:rFonts w:ascii="Arial" w:cs="Arial" w:eastAsia="Arial" w:hAnsi="Arial"/>
                <w:sz w:val="19"/>
                <w:szCs w:val="19"/>
              </w:rPr>
              <w:t xml:space="preserve">Страна продавца запрещает вывоз такого товара в Россию: касается товара, который покупают в этой стране или у её компаний.</w:t>
            </w:r>
          </w:p>
          <w:p>
            <w:pPr>
              <w:spacing w:after="60"/>
              <w:ind w:left="220" w:hanging="160"/>
            </w:pPr>
            <w:r>
              <w:rPr>
                <w:rFonts w:ascii="Arial" w:cs="Arial" w:eastAsia="Arial" w:hAnsi="Arial"/>
                <w:sz w:val="19"/>
                <w:szCs w:val="19"/>
              </w:rPr>
              <w:t xml:space="preserve">• ЕС: </w:t>
            </w:r>
            <w:hyperlink w:history="1" r:id="rIddotiw1acju4oaj-j7tb5g">
              <w:r>
                <w:rPr>
                  <w:rFonts w:ascii="Arial" w:cs="Arial" w:eastAsia="Arial" w:hAnsi="Arial"/>
                  <w:color w:val="1F5FBF"/>
                  <w:sz w:val="19"/>
                  <w:szCs w:val="19"/>
                  <w:u w:val="single"/>
                </w:rPr>
                <w:t xml:space="preserve">Регламент Совета ЕС № 833/2014</w:t>
              </w:r>
            </w:hyperlink>
            <w:r>
              <w:rPr>
                <w:rFonts w:ascii="Arial" w:cs="Arial" w:eastAsia="Arial" w:hAnsi="Arial"/>
                <w:sz w:val="19"/>
                <w:szCs w:val="19"/>
              </w:rPr>
              <w:t xml:space="preserve">, приложение XXIII (промышленные товары)</w:t>
            </w:r>
          </w:p>
          <w:p>
            <w:pPr>
              <w:spacing w:after="60"/>
              <w:ind w:left="220" w:hanging="160"/>
            </w:pPr>
            <w:r>
              <w:rPr>
                <w:rFonts w:ascii="Arial" w:cs="Arial" w:eastAsia="Arial" w:hAnsi="Arial"/>
                <w:sz w:val="19"/>
                <w:szCs w:val="19"/>
              </w:rPr>
              <w:t xml:space="preserve">• Великобритания: </w:t>
            </w:r>
            <w:hyperlink w:history="1" r:id="rId0-awxvrzc6vfm8szewu8u">
              <w:r>
                <w:rPr>
                  <w:rFonts w:ascii="Arial" w:cs="Arial" w:eastAsia="Arial" w:hAnsi="Arial"/>
                  <w:color w:val="1F5FBF"/>
                  <w:sz w:val="19"/>
                  <w:szCs w:val="19"/>
                  <w:u w:val="single"/>
                </w:rPr>
                <w:t xml:space="preserve">Регламент Великобритании о санкциях против России 2019 года</w:t>
              </w:r>
            </w:hyperlink>
            <w:r>
              <w:rPr>
                <w:rFonts w:ascii="Arial" w:cs="Arial" w:eastAsia="Arial" w:hAnsi="Arial"/>
                <w:sz w:val="19"/>
                <w:szCs w:val="19"/>
              </w:rPr>
              <w:t xml:space="preserve">, приложение 3E (товары зависимости G7)</w:t>
            </w:r>
          </w:p>
          <w:p>
            <w:pPr>
              <w:spacing w:after="60"/>
              <w:ind w:left="220" w:hanging="160"/>
            </w:pPr>
            <w:r>
              <w:rPr>
                <w:rFonts w:ascii="Arial" w:cs="Arial" w:eastAsia="Arial" w:hAnsi="Arial"/>
                <w:sz w:val="19"/>
                <w:szCs w:val="19"/>
              </w:rPr>
              <w:t xml:space="preserve">• США: </w:t>
            </w:r>
            <w:hyperlink w:history="1" r:id="rIdngtixm3aget3il2shqf_d">
              <w:r>
                <w:rPr>
                  <w:rFonts w:ascii="Arial" w:cs="Arial" w:eastAsia="Arial" w:hAnsi="Arial"/>
                  <w:color w:val="1F5FBF"/>
                  <w:sz w:val="19"/>
                  <w:szCs w:val="19"/>
                  <w:u w:val="single"/>
                </w:rPr>
                <w:t xml:space="preserve">Правила экспортного контроля США (EAR), часть 746</w:t>
              </w:r>
            </w:hyperlink>
            <w:r>
              <w:rPr>
                <w:rFonts w:ascii="Arial" w:cs="Arial" w:eastAsia="Arial" w:hAnsi="Arial"/>
                <w:sz w:val="19"/>
                <w:szCs w:val="19"/>
              </w:rPr>
              <w:t xml:space="preserve">, дополнение № 4 (промышленные товары)</w:t>
            </w:r>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Параллельный импорт</w:t>
            </w:r>
          </w:p>
        </w:tc>
        <w:tc>
          <w:tcPr>
            <w:tcW w:type="dxa" w:w="7604"/>
            <w:tcMar>
              <w:top w:type="dxa" w:w="80"/>
              <w:left w:type="dxa" w:w="120"/>
              <w:bottom w:type="dxa" w:w="80"/>
              <w:right w:type="dxa" w:w="120"/>
            </w:tcMar>
          </w:tcPr>
          <w:p>
            <w:pPr>
              <w:spacing w:after="60"/>
            </w:pPr>
            <w:r>
              <w:rPr>
                <w:rFonts w:ascii="Arial" w:cs="Arial" w:eastAsia="Arial" w:hAnsi="Arial"/>
                <w:sz w:val="19"/>
                <w:szCs w:val="19"/>
              </w:rPr>
              <w:t xml:space="preserve">Код подпадает под перечень </w:t>
            </w:r>
            <w:hyperlink w:history="1" r:id="rId9xrlf3bsuhwso5zkm5fth">
              <w:r>
                <w:rPr>
                  <w:rFonts w:ascii="Arial" w:cs="Arial" w:eastAsia="Arial" w:hAnsi="Arial"/>
                  <w:color w:val="1F5FBF"/>
                  <w:sz w:val="19"/>
                  <w:szCs w:val="19"/>
                  <w:u w:val="single"/>
                </w:rPr>
                <w:t xml:space="preserve">приказа Минпромторга России от 21.07.2023 № 2701</w:t>
              </w:r>
            </w:hyperlink>
            <w:r>
              <w:rPr>
                <w:rFonts w:ascii="Arial" w:cs="Arial" w:eastAsia="Arial" w:hAnsi="Arial"/>
                <w:sz w:val="19"/>
                <w:szCs w:val="19"/>
              </w:rPr>
              <w:t xml:space="preserve">: товар, введённый в оборот за рубежом правообладателем или с его согласия, можно ввозить без согласия правообладателя, но только под товарными знаками пункта.</w:t>
            </w:r>
          </w:p>
          <w:p>
            <w:pPr>
              <w:spacing w:after="60"/>
              <w:ind w:left="220" w:hanging="160"/>
            </w:pPr>
            <w:r>
              <w:rPr>
                <w:rFonts w:ascii="Arial" w:cs="Arial" w:eastAsia="Arial" w:hAnsi="Arial"/>
                <w:sz w:val="19"/>
                <w:szCs w:val="19"/>
              </w:rPr>
              <w:t xml:space="preserve">• Пункт 412 (90): ACURA, ALFA ROMEO, AUDI, BALLUFF, BENTLEY, BMW, CADILLAC, CHEVROLET, CHRYSLER, DAEWOO, DAIHATSU, DATSUN, DODGE, FERRARI, FIAT, GENERAL MOTORS (GM), GMC, HEIDENHAIN, HONDA, HUMMER, HYUNDAI, INFINITI, JAGUAR, JEEP, LAND ROVER, LEXUS, LINCOLN, KIA, MASERATI,…</w:t>
            </w:r>
          </w:p>
          <w:p>
            <w:pPr>
              <w:spacing w:after="60"/>
              <w:ind w:left="220" w:hanging="160"/>
            </w:pPr>
            <w:r>
              <w:rPr>
                <w:rFonts w:ascii="Arial" w:cs="Arial" w:eastAsia="Arial" w:hAnsi="Arial"/>
                <w:sz w:val="19"/>
                <w:szCs w:val="19"/>
              </w:rPr>
              <w:t xml:space="preserve">• Пункт 432 (9031): ACUITAS, ADVITAM, AI-Tek Instruments, ALLNAMICS, Ate, BALTECH, BALLUFF, BEKA, BENTLY NEVADA, BMT, BOMAG, BOSCH, BR BRAUN, Bruel &amp; Kjaer, CARLO GAVAZZI, CATERPILLAR, CHOTEST, dp PRÜFTECHNIK, DIGIDUCER, EagleBurgmann, EDMUND OPTICS, ELSA SOLUTIONS, EMERSON,…</w:t>
            </w:r>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Ввозная пошлина</w:t>
            </w:r>
          </w:p>
        </w:tc>
        <w:tc>
          <w:tcPr>
            <w:tcW w:type="dxa" w:w="7604"/>
            <w:tcMar>
              <w:top w:type="dxa" w:w="80"/>
              <w:left w:type="dxa" w:w="120"/>
              <w:bottom w:type="dxa" w:w="80"/>
              <w:right w:type="dxa" w:w="120"/>
            </w:tcMar>
          </w:tcPr>
          <w:p>
            <w:pPr>
              <w:spacing w:after="60"/>
            </w:pPr>
            <w:r>
              <w:rPr>
                <w:rFonts w:ascii="Arial" w:cs="Arial" w:eastAsia="Arial" w:hAnsi="Arial"/>
                <w:b/>
                <w:bCs/>
                <w:sz w:val="19"/>
                <w:szCs w:val="19"/>
              </w:rPr>
              <w:t xml:space="preserve">0% — ставка Единого таможенного тарифа ЕАЭС</w:t>
            </w:r>
          </w:p>
          <w:p>
            <w:pPr>
              <w:spacing w:after="60"/>
            </w:pPr>
            <w:r>
              <w:rPr>
                <w:rFonts w:ascii="Arial" w:cs="Arial" w:eastAsia="Arial" w:hAnsi="Arial"/>
                <w:color w:val="5B6472"/>
                <w:sz w:val="17"/>
                <w:szCs w:val="17"/>
              </w:rPr>
              <w:t xml:space="preserve">ЕТТ ЕАЭС в редакции </w:t>
            </w:r>
            <w:hyperlink w:history="1" r:id="rIdw8949qv0tthylh1_lz4h5">
              <w:r>
                <w:rPr>
                  <w:rFonts w:ascii="Arial" w:cs="Arial" w:eastAsia="Arial" w:hAnsi="Arial"/>
                  <w:color w:val="1F5FBF"/>
                  <w:sz w:val="17"/>
                  <w:szCs w:val="17"/>
                  <w:u w:val="single"/>
                </w:rPr>
                <w:t xml:space="preserve">Решение Совета ЕЭК № 80 от 14.09.2021</w:t>
              </w:r>
            </w:hyperlink>
            <w:r>
              <w:rPr>
                <w:rFonts w:ascii="Arial" w:cs="Arial" w:eastAsia="Arial" w:hAnsi="Arial"/>
                <w:color w:val="5B6472"/>
                <w:sz w:val="17"/>
                <w:szCs w:val="17"/>
              </w:rPr>
              <w:t xml:space="preserve">, с 01.01.2022; более поздних решений о ставке по этому коду в нашем реестре нет</w:t>
            </w:r>
          </w:p>
          <w:p>
            <w:pPr>
              <w:spacing w:after="60"/>
              <w:ind w:left="220" w:hanging="160"/>
            </w:pPr>
            <w:r>
              <w:rPr>
                <w:rFonts w:ascii="Arial" w:cs="Arial" w:eastAsia="Arial" w:hAnsi="Arial"/>
                <w:sz w:val="19"/>
                <w:szCs w:val="19"/>
              </w:rPr>
              <w:t xml:space="preserve">• Товар из наименее развитых стран (46): преференция, ставка 0%.</w:t>
            </w:r>
          </w:p>
          <w:p>
            <w:pPr>
              <w:spacing w:after="60"/>
            </w:pPr>
            <w:r>
              <w:rPr>
                <w:rFonts w:ascii="Arial" w:cs="Arial" w:eastAsia="Arial" w:hAnsi="Arial"/>
                <w:color w:val="5B6472"/>
                <w:sz w:val="17"/>
                <w:szCs w:val="17"/>
              </w:rPr>
              <w:t xml:space="preserve">Условия преференции: документ о происхождении товара и прямая поставка. </w:t>
            </w:r>
            <w:hyperlink w:history="1" r:id="rIdnfmojxujq5w3idcxspqtk">
              <w:r>
                <w:rPr>
                  <w:rFonts w:ascii="Arial" w:cs="Arial" w:eastAsia="Arial" w:hAnsi="Arial"/>
                  <w:color w:val="1F5FBF"/>
                  <w:sz w:val="17"/>
                  <w:szCs w:val="17"/>
                  <w:u w:val="single"/>
                </w:rPr>
                <w:t xml:space="preserve">Решение Совета ЕЭК от 13.01.2017 № 8</w:t>
              </w:r>
            </w:hyperlink>
            <w:r>
              <w:rPr>
                <w:rFonts w:ascii="Arial" w:cs="Arial" w:eastAsia="Arial" w:hAnsi="Arial"/>
                <w:color w:val="5B6472"/>
                <w:sz w:val="17"/>
                <w:szCs w:val="17"/>
              </w:rPr>
              <w:t xml:space="preserve">.</w:t>
            </w:r>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Особые виды пошлин</w:t>
            </w:r>
          </w:p>
        </w:tc>
        <w:tc>
          <w:tcPr>
            <w:tcW w:type="dxa" w:w="7604"/>
            <w:tcMar>
              <w:top w:type="dxa" w:w="80"/>
              <w:left w:type="dxa" w:w="120"/>
              <w:bottom w:type="dxa" w:w="80"/>
              <w:right w:type="dxa" w:w="120"/>
            </w:tcMar>
          </w:tcPr>
          <w:p>
            <w:pPr>
              <w:spacing w:after="60"/>
            </w:pPr>
            <w:r>
              <w:rPr>
                <w:rFonts w:ascii="Arial" w:cs="Arial" w:eastAsia="Arial" w:hAnsi="Arial"/>
                <w:sz w:val="19"/>
                <w:szCs w:val="19"/>
              </w:rPr>
              <w:t xml:space="preserve">Антидемпинговые, компенсационные и специальные пошлины по коду не применяются.</w:t>
            </w:r>
          </w:p>
          <w:p>
            <w:pPr>
              <w:spacing w:after="60"/>
            </w:pPr>
            <w:r>
              <w:rPr>
                <w:rFonts w:ascii="Arial" w:cs="Arial" w:eastAsia="Arial" w:hAnsi="Arial"/>
                <w:color w:val="5B6472"/>
                <w:sz w:val="17"/>
                <w:szCs w:val="17"/>
              </w:rPr>
              <w:t xml:space="preserve">Основание: Договор о Евразийском экономическом союзе от 29.05.2014, приложение № 8</w:t>
            </w:r>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Акциз</w:t>
            </w:r>
          </w:p>
        </w:tc>
        <w:tc>
          <w:tcPr>
            <w:tcW w:type="dxa" w:w="7604"/>
            <w:tcMar>
              <w:top w:type="dxa" w:w="80"/>
              <w:left w:type="dxa" w:w="120"/>
              <w:bottom w:type="dxa" w:w="80"/>
              <w:right w:type="dxa" w:w="120"/>
            </w:tcMar>
          </w:tcPr>
          <w:p>
            <w:pPr>
              <w:spacing w:after="60"/>
            </w:pPr>
            <w:r>
              <w:rPr>
                <w:rFonts w:ascii="Arial" w:cs="Arial" w:eastAsia="Arial" w:hAnsi="Arial"/>
                <w:sz w:val="19"/>
                <w:szCs w:val="19"/>
              </w:rPr>
              <w:t xml:space="preserve">Подакцизных видов товаров по коду нет (статья 181 НК РФ).</w:t>
            </w:r>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НДС при ввозе</w:t>
            </w:r>
          </w:p>
        </w:tc>
        <w:tc>
          <w:tcPr>
            <w:tcW w:type="dxa" w:w="7604"/>
            <w:tcMar>
              <w:top w:type="dxa" w:w="80"/>
              <w:left w:type="dxa" w:w="120"/>
              <w:bottom w:type="dxa" w:w="80"/>
              <w:right w:type="dxa" w:w="120"/>
            </w:tcMar>
          </w:tcPr>
          <w:p>
            <w:pPr>
              <w:spacing w:after="60"/>
            </w:pPr>
            <w:r>
              <w:rPr>
                <w:rFonts w:ascii="Arial" w:cs="Arial" w:eastAsia="Arial" w:hAnsi="Arial"/>
                <w:b/>
                <w:bCs/>
                <w:sz w:val="19"/>
                <w:szCs w:val="19"/>
              </w:rPr>
              <w:t xml:space="preserve">22% — основная ставка (статья 164 НК РФ).</w:t>
            </w:r>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Таможенный сбор</w:t>
            </w:r>
          </w:p>
        </w:tc>
        <w:tc>
          <w:tcPr>
            <w:tcW w:type="dxa" w:w="7604"/>
            <w:tcMar>
              <w:top w:type="dxa" w:w="80"/>
              <w:left w:type="dxa" w:w="120"/>
              <w:bottom w:type="dxa" w:w="80"/>
              <w:right w:type="dxa" w:w="120"/>
            </w:tcMar>
          </w:tcPr>
          <w:p>
            <w:pPr>
              <w:spacing w:after="60"/>
            </w:pPr>
            <w:r>
              <w:rPr>
                <w:rFonts w:ascii="Arial" w:cs="Arial" w:eastAsia="Arial" w:hAnsi="Arial"/>
                <w:b/>
                <w:bCs/>
                <w:sz w:val="19"/>
                <w:szCs w:val="19"/>
              </w:rPr>
              <w:t xml:space="preserve">73 860 ₽ за декларацию: код в перечне радиоэлектроники с отдельной ставкой сбора.</w:t>
            </w:r>
          </w:p>
          <w:p>
            <w:pPr>
              <w:spacing w:after="60"/>
            </w:pPr>
            <w:hyperlink w:history="1" r:id="rIdtxyglspaolmvziw_uc_mh">
              <w:r>
                <w:rPr>
                  <w:rFonts w:ascii="Arial" w:cs="Arial" w:eastAsia="Arial" w:hAnsi="Arial"/>
                  <w:color w:val="1F5FBF"/>
                  <w:sz w:val="17"/>
                  <w:szCs w:val="17"/>
                  <w:u w:val="single"/>
                </w:rPr>
                <w:t xml:space="preserve">Постановление Правительства РФ от 28.11.2024 № 1637</w:t>
              </w:r>
            </w:hyperlink>
            <w:r>
              <w:rPr>
                <w:rFonts w:ascii="Arial" w:cs="Arial" w:eastAsia="Arial" w:hAnsi="Arial"/>
                <w:color w:val="5B6472"/>
                <w:sz w:val="17"/>
                <w:szCs w:val="17"/>
              </w:rPr>
              <w:t xml:space="preserve"> в редакции от 23.10.2025 № 1638.</w:t>
            </w:r>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Запреты и ограничения</w:t>
            </w:r>
          </w:p>
        </w:tc>
        <w:tc>
          <w:tcPr>
            <w:tcW w:type="dxa" w:w="7604"/>
            <w:tcMar>
              <w:top w:type="dxa" w:w="80"/>
              <w:left w:type="dxa" w:w="120"/>
              <w:bottom w:type="dxa" w:w="80"/>
              <w:right w:type="dxa" w:w="120"/>
            </w:tcMar>
          </w:tcPr>
          <w:p>
            <w:pPr>
              <w:spacing w:after="60"/>
            </w:pPr>
            <w:r>
              <w:rPr>
                <w:rFonts w:ascii="Arial" w:cs="Arial" w:eastAsia="Arial" w:hAnsi="Arial"/>
                <w:sz w:val="19"/>
                <w:szCs w:val="19"/>
              </w:rPr>
              <w:t xml:space="preserve">Запретов и разрешительного порядка на ввоз по коду в перечнях России и ЕАЭС нет.</w:t>
            </w:r>
          </w:p>
          <w:p>
            <w:pPr>
              <w:spacing w:after="60"/>
            </w:pPr>
            <w:r>
              <w:rPr>
                <w:rFonts w:ascii="Arial" w:cs="Arial" w:eastAsia="Arial" w:hAnsi="Arial"/>
                <w:color w:val="5B6472"/>
                <w:sz w:val="17"/>
                <w:szCs w:val="17"/>
              </w:rPr>
              <w:t xml:space="preserve">Есть меры, касающиеся только вывоза, — они в справке на вывоз.</w:t>
            </w:r>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Обязательная маркировка</w:t>
            </w:r>
          </w:p>
        </w:tc>
        <w:tc>
          <w:tcPr>
            <w:tcW w:type="dxa" w:w="7604"/>
            <w:tcMar>
              <w:top w:type="dxa" w:w="80"/>
              <w:left w:type="dxa" w:w="120"/>
              <w:bottom w:type="dxa" w:w="80"/>
              <w:right w:type="dxa" w:w="120"/>
            </w:tcMar>
          </w:tcPr>
          <w:p>
            <w:pPr>
              <w:spacing w:after="60"/>
            </w:pPr>
            <w:r>
              <w:rPr>
                <w:rFonts w:ascii="Arial" w:cs="Arial" w:eastAsia="Arial" w:hAnsi="Arial"/>
                <w:sz w:val="19"/>
                <w:szCs w:val="19"/>
              </w:rPr>
              <w:t xml:space="preserve">Код не назван в перечне товаров с обязательной маркировкой (</w:t>
            </w:r>
            <w:hyperlink w:history="1" r:id="rIdxm1qtnjtw9gthaw1_9fkt">
              <w:r>
                <w:rPr>
                  <w:rFonts w:ascii="Arial" w:cs="Arial" w:eastAsia="Arial" w:hAnsi="Arial"/>
                  <w:color w:val="1F5FBF"/>
                  <w:sz w:val="19"/>
                  <w:szCs w:val="19"/>
                  <w:u w:val="single"/>
                </w:rPr>
                <w:t xml:space="preserve">распоряжение № 792-р</w:t>
              </w:r>
            </w:hyperlink>
            <w:r>
              <w:rPr>
                <w:rFonts w:ascii="Arial" w:cs="Arial" w:eastAsia="Arial" w:hAnsi="Arial"/>
                <w:sz w:val="19"/>
                <w:szCs w:val="19"/>
              </w:rPr>
              <w:t xml:space="preserve"> в редакции № 1765-р, № 249-р и № 956-р).</w:t>
            </w:r>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Разрешительные документы</w:t>
            </w:r>
          </w:p>
        </w:tc>
        <w:tc>
          <w:tcPr>
            <w:tcW w:type="dxa" w:w="7604"/>
            <w:tcMar>
              <w:top w:type="dxa" w:w="80"/>
              <w:left w:type="dxa" w:w="120"/>
              <w:bottom w:type="dxa" w:w="80"/>
              <w:right w:type="dxa" w:w="120"/>
            </w:tcMar>
          </w:tcPr>
          <w:p>
            <w:pPr>
              <w:spacing w:after="60"/>
            </w:pPr>
            <w:hyperlink w:history="1" r:id="rIdudgwh7cqgaxy3o9soahj6">
              <w:r>
                <w:rPr>
                  <w:rFonts w:ascii="Arial" w:cs="Arial" w:eastAsia="Arial" w:hAnsi="Arial"/>
                  <w:b/>
                  <w:bCs/>
                  <w:color w:val="1F5FBF"/>
                  <w:sz w:val="19"/>
                  <w:szCs w:val="19"/>
                  <w:u w:val="single"/>
                </w:rPr>
                <w:t xml:space="preserve">ТР ТС 010/2011</w:t>
              </w:r>
            </w:hyperlink>
            <w:r>
              <w:rPr>
                <w:rFonts w:ascii="Arial" w:cs="Arial" w:eastAsia="Arial" w:hAnsi="Arial"/>
                <w:b/>
                <w:bCs/>
                <w:sz w:val="19"/>
                <w:szCs w:val="19"/>
              </w:rPr>
              <w:t xml:space="preserve"> «О безопасности машин и оборудования»</w:t>
            </w:r>
          </w:p>
          <w:p>
            <w:pPr>
              <w:spacing w:after="60"/>
              <w:ind w:left="220" w:hanging="160"/>
            </w:pPr>
            <w:r>
              <w:rPr>
                <w:rFonts w:ascii="Arial" w:cs="Arial" w:eastAsia="Arial" w:hAnsi="Arial"/>
                <w:sz w:val="19"/>
                <w:szCs w:val="19"/>
              </w:rPr>
              <w:t xml:space="preserve">• сертификат соответствия: Оборудование гаражное для автотранспортных средств и прицепов (касается части товаров кода)</w:t>
            </w:r>
          </w:p>
          <w:p>
            <w:pPr>
              <w:spacing w:after="60"/>
            </w:pPr>
            <w:hyperlink w:history="1" r:id="rIdywoq3xh1ro59pr4cfcv2x">
              <w:r>
                <w:rPr>
                  <w:rFonts w:ascii="Arial" w:cs="Arial" w:eastAsia="Arial" w:hAnsi="Arial"/>
                  <w:b/>
                  <w:bCs/>
                  <w:color w:val="1F5FBF"/>
                  <w:sz w:val="19"/>
                  <w:szCs w:val="19"/>
                  <w:u w:val="single"/>
                </w:rPr>
                <w:t xml:space="preserve">ТР ТС 018/2011</w:t>
              </w:r>
            </w:hyperlink>
            <w:r>
              <w:rPr>
                <w:rFonts w:ascii="Arial" w:cs="Arial" w:eastAsia="Arial" w:hAnsi="Arial"/>
                <w:b/>
                <w:bCs/>
                <w:sz w:val="19"/>
                <w:szCs w:val="19"/>
              </w:rPr>
              <w:t xml:space="preserve"> «О безопасности колесных транспортных средств»</w:t>
            </w:r>
          </w:p>
          <w:p>
            <w:pPr>
              <w:spacing w:after="60"/>
              <w:ind w:left="220" w:hanging="160"/>
            </w:pPr>
            <w:r>
              <w:rPr>
                <w:rFonts w:ascii="Arial" w:cs="Arial" w:eastAsia="Arial" w:hAnsi="Arial"/>
                <w:sz w:val="19"/>
                <w:szCs w:val="19"/>
              </w:rPr>
              <w:t xml:space="preserve">• сертификат соответствия: Оборудование для питания двигателя газообразным топливом (компримированным природным газом - КПГ, сжиженным нефтяным газом - СНГ (или сжиженным углеводородным газом - СУГ), сжиженным природным газом - СПГ, диметиловым эфиром топливным - ДМЭт): баллон газовый; вспомогательное оборудование баллона;…</w:t>
            </w:r>
          </w:p>
          <w:p>
            <w:pPr>
              <w:spacing w:after="60"/>
              <w:ind w:left="220" w:hanging="160"/>
            </w:pPr>
            <w:r>
              <w:rPr>
                <w:rFonts w:ascii="Arial" w:cs="Arial" w:eastAsia="Arial" w:hAnsi="Arial"/>
                <w:sz w:val="19"/>
                <w:szCs w:val="19"/>
              </w:rPr>
              <w:t xml:space="preserve">• сертификат соответствия или декларация о соответствии: Указатели и датчики аварийных состояний</w:t>
            </w:r>
          </w:p>
          <w:p>
            <w:pPr>
              <w:spacing w:after="60"/>
            </w:pPr>
            <w:hyperlink w:history="1" r:id="rIdcyum1euw06lqgx9lazccd">
              <w:r>
                <w:rPr>
                  <w:rFonts w:ascii="Arial" w:cs="Arial" w:eastAsia="Arial" w:hAnsi="Arial"/>
                  <w:b/>
                  <w:bCs/>
                  <w:color w:val="1F5FBF"/>
                  <w:sz w:val="19"/>
                  <w:szCs w:val="19"/>
                  <w:u w:val="single"/>
                </w:rPr>
                <w:t xml:space="preserve">ТР ТС 032/2013</w:t>
              </w:r>
            </w:hyperlink>
            <w:r>
              <w:rPr>
                <w:rFonts w:ascii="Arial" w:cs="Arial" w:eastAsia="Arial" w:hAnsi="Arial"/>
                <w:b/>
                <w:bCs/>
                <w:sz w:val="19"/>
                <w:szCs w:val="19"/>
              </w:rPr>
              <w:t xml:space="preserve"> «О безопасности оборудования, работающего под избыточным давлением»</w:t>
            </w:r>
          </w:p>
          <w:p>
            <w:pPr>
              <w:spacing w:after="60"/>
              <w:ind w:left="220" w:hanging="160"/>
            </w:pPr>
            <w:r>
              <w:rPr>
                <w:rFonts w:ascii="Arial" w:cs="Arial" w:eastAsia="Arial" w:hAnsi="Arial"/>
                <w:sz w:val="19"/>
                <w:szCs w:val="19"/>
              </w:rPr>
              <w:t xml:space="preserve">• декларация о соответствии или сертификат соответствия: Начало действия редакции - 03.04.2022 г. 12. Показывающие и предохранительные устройства (предназначенные для применения в составе указанного в пунктах 1 – 9 и 13 настоящего перечня оборудования, работающего под избыточным давлением), за исключением устройств, отнесенных к средствам измерений См.…</w:t>
            </w:r>
          </w:p>
          <w:p>
            <w:pPr>
              <w:spacing w:after="60"/>
            </w:pPr>
            <w:r>
              <w:rPr>
                <w:rFonts w:ascii="Arial" w:cs="Arial" w:eastAsia="Arial" w:hAnsi="Arial"/>
                <w:b/>
                <w:bCs/>
                <w:sz w:val="19"/>
                <w:szCs w:val="19"/>
              </w:rPr>
              <w:t xml:space="preserve">Постановление № 2425 «Единый перечень продукции: сертификация и декларирование в РФ»</w:t>
            </w:r>
          </w:p>
          <w:p>
            <w:pPr>
              <w:spacing w:after="60"/>
              <w:ind w:left="220" w:hanging="160"/>
            </w:pPr>
            <w:r>
              <w:rPr>
                <w:rFonts w:ascii="Arial" w:cs="Arial" w:eastAsia="Arial" w:hAnsi="Arial"/>
                <w:sz w:val="19"/>
                <w:szCs w:val="19"/>
              </w:rPr>
              <w:t xml:space="preserve">• сертификат соответствия: Электрооборудование рудничное нормальное (касается части товаров кода)</w:t>
            </w:r>
          </w:p>
          <w:p>
            <w:pPr>
              <w:spacing w:after="60"/>
            </w:pPr>
            <w:hyperlink w:history="1" r:id="rIdot7c2puwekqexfvtat9h7">
              <w:r>
                <w:rPr>
                  <w:rFonts w:ascii="Arial" w:cs="Arial" w:eastAsia="Arial" w:hAnsi="Arial"/>
                  <w:b/>
                  <w:bCs/>
                  <w:color w:val="1F5FBF"/>
                  <w:sz w:val="19"/>
                  <w:szCs w:val="19"/>
                  <w:u w:val="single"/>
                </w:rPr>
                <w:t xml:space="preserve">ТР ТС 031/2012</w:t>
              </w:r>
            </w:hyperlink>
            <w:r>
              <w:rPr>
                <w:rFonts w:ascii="Arial" w:cs="Arial" w:eastAsia="Arial" w:hAnsi="Arial"/>
                <w:b/>
                <w:bCs/>
                <w:sz w:val="19"/>
                <w:szCs w:val="19"/>
              </w:rPr>
              <w:t xml:space="preserve"> «О безопасности сельскохозяйственных и лесохозяйственных тракторов и прицепов к ним»</w:t>
            </w:r>
          </w:p>
          <w:p>
            <w:pPr>
              <w:spacing w:after="60"/>
              <w:ind w:left="220" w:hanging="160"/>
            </w:pPr>
            <w:r>
              <w:rPr>
                <w:rFonts w:ascii="Arial" w:cs="Arial" w:eastAsia="Arial" w:hAnsi="Arial"/>
                <w:sz w:val="19"/>
                <w:szCs w:val="19"/>
              </w:rPr>
              <w:t xml:space="preserve">• сертификат соответствия: указатель уровня</w:t>
            </w:r>
          </w:p>
          <w:p>
            <w:pPr>
              <w:spacing w:after="60"/>
              <w:ind w:left="220" w:hanging="160"/>
            </w:pPr>
            <w:r>
              <w:rPr>
                <w:rFonts w:ascii="Arial" w:cs="Arial" w:eastAsia="Arial" w:hAnsi="Arial"/>
                <w:sz w:val="19"/>
                <w:szCs w:val="19"/>
              </w:rPr>
              <w:t xml:space="preserve">• сертификат соответствия: газовый дозатор</w:t>
            </w:r>
          </w:p>
          <w:p>
            <w:pPr>
              <w:spacing w:after="60"/>
              <w:ind w:left="220" w:hanging="160"/>
            </w:pPr>
            <w:r>
              <w:rPr>
                <w:rFonts w:ascii="Arial" w:cs="Arial" w:eastAsia="Arial" w:hAnsi="Arial"/>
                <w:sz w:val="19"/>
                <w:szCs w:val="19"/>
              </w:rPr>
              <w:t xml:space="preserve">• сертификат соответствия: датчик давления и температуры</w:t>
            </w:r>
          </w:p>
          <w:p>
            <w:pPr>
              <w:spacing w:after="60"/>
            </w:pPr>
            <w:hyperlink w:history="1" r:id="rId9n31zodknlc8inilsezxc">
              <w:r>
                <w:rPr>
                  <w:rFonts w:ascii="Arial" w:cs="Arial" w:eastAsia="Arial" w:hAnsi="Arial"/>
                  <w:b/>
                  <w:bCs/>
                  <w:color w:val="1F5FBF"/>
                  <w:sz w:val="19"/>
                  <w:szCs w:val="19"/>
                  <w:u w:val="single"/>
                </w:rPr>
                <w:t xml:space="preserve">ТР ЕАЭС 050/2021</w:t>
              </w:r>
            </w:hyperlink>
            <w:r>
              <w:rPr>
                <w:rFonts w:ascii="Arial" w:cs="Arial" w:eastAsia="Arial" w:hAnsi="Arial"/>
                <w:b/>
                <w:bCs/>
                <w:sz w:val="19"/>
                <w:szCs w:val="19"/>
              </w:rPr>
              <w:t xml:space="preserve"> «О безопасности продукции, предназначенной для гражданской обороны и защиты от чрезвычайных ситуаций природного и техногенного характера»</w:t>
            </w:r>
          </w:p>
          <w:p>
            <w:pPr>
              <w:spacing w:after="60"/>
              <w:ind w:left="220" w:hanging="160"/>
            </w:pPr>
            <w:r>
              <w:rPr>
                <w:rFonts w:ascii="Arial" w:cs="Arial" w:eastAsia="Arial" w:hAnsi="Arial"/>
                <w:sz w:val="19"/>
                <w:szCs w:val="19"/>
              </w:rPr>
              <w:t xml:space="preserve">• сертификат соответствия: Датчики и измерительные средства контроля изменения состояния параметров окружающей среды или отдельных ее компонентов</w:t>
            </w:r>
          </w:p>
          <w:p>
            <w:pPr>
              <w:spacing w:after="60"/>
            </w:pPr>
            <w:r>
              <w:rPr>
                <w:rFonts w:ascii="Arial" w:cs="Arial" w:eastAsia="Arial" w:hAnsi="Arial"/>
                <w:color w:val="5B6472"/>
                <w:sz w:val="17"/>
                <w:szCs w:val="17"/>
              </w:rPr>
              <w:t xml:space="preserve">На практике по субпозиции 9031 80 действует сертификатов: 1581, деклараций: 9784; чаще по </w:t>
            </w:r>
            <w:hyperlink w:history="1" r:id="rIdfdfi7y8ljp1fbgm2ktlyt">
              <w:r>
                <w:rPr>
                  <w:rFonts w:ascii="Arial" w:cs="Arial" w:eastAsia="Arial" w:hAnsi="Arial"/>
                  <w:color w:val="1F5FBF"/>
                  <w:sz w:val="17"/>
                  <w:szCs w:val="17"/>
                  <w:u w:val="single"/>
                </w:rPr>
                <w:t xml:space="preserve">ТР ТС 020/2011</w:t>
              </w:r>
            </w:hyperlink>
            <w:r>
              <w:rPr>
                <w:rFonts w:ascii="Arial" w:cs="Arial" w:eastAsia="Arial" w:hAnsi="Arial"/>
                <w:color w:val="5B6472"/>
                <w:sz w:val="17"/>
                <w:szCs w:val="17"/>
              </w:rPr>
              <w:t xml:space="preserve">, </w:t>
            </w:r>
            <w:hyperlink w:history="1" r:id="rIdjys1tailjiaeayshwagrj">
              <w:r>
                <w:rPr>
                  <w:rFonts w:ascii="Arial" w:cs="Arial" w:eastAsia="Arial" w:hAnsi="Arial"/>
                  <w:color w:val="1F5FBF"/>
                  <w:sz w:val="17"/>
                  <w:szCs w:val="17"/>
                  <w:u w:val="single"/>
                </w:rPr>
                <w:t xml:space="preserve">ТР ТС 004/2011</w:t>
              </w:r>
            </w:hyperlink>
            <w:r>
              <w:rPr>
                <w:rFonts w:ascii="Arial" w:cs="Arial" w:eastAsia="Arial" w:hAnsi="Arial"/>
                <w:color w:val="5B6472"/>
                <w:sz w:val="17"/>
                <w:szCs w:val="17"/>
              </w:rPr>
              <w:t xml:space="preserve">, </w:t>
            </w:r>
            <w:hyperlink w:history="1" r:id="rIdjlzvf1f3k7ksbvi0jd6kq">
              <w:r>
                <w:rPr>
                  <w:rFonts w:ascii="Arial" w:cs="Arial" w:eastAsia="Arial" w:hAnsi="Arial"/>
                  <w:color w:val="1F5FBF"/>
                  <w:sz w:val="17"/>
                  <w:szCs w:val="17"/>
                  <w:u w:val="single"/>
                </w:rPr>
                <w:t xml:space="preserve">ТР ТС 018/2011</w:t>
              </w:r>
            </w:hyperlink>
            <w:r>
              <w:rPr>
                <w:rFonts w:ascii="Arial" w:cs="Arial" w:eastAsia="Arial" w:hAnsi="Arial"/>
                <w:color w:val="5B6472"/>
                <w:sz w:val="17"/>
                <w:szCs w:val="17"/>
              </w:rPr>
              <w:t xml:space="preserve">.</w:t>
            </w:r>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Ветеринарный, фитосанитарный и санитарный контроль</w:t>
            </w:r>
          </w:p>
        </w:tc>
        <w:tc>
          <w:tcPr>
            <w:tcW w:type="dxa" w:w="7604"/>
            <w:tcMar>
              <w:top w:type="dxa" w:w="80"/>
              <w:left w:type="dxa" w:w="120"/>
              <w:bottom w:type="dxa" w:w="80"/>
              <w:right w:type="dxa" w:w="120"/>
            </w:tcMar>
          </w:tcPr>
          <w:p>
            <w:pPr>
              <w:spacing w:after="60"/>
              <w:ind w:left="220" w:hanging="160"/>
            </w:pPr>
            <w:r>
              <w:rPr>
                <w:rFonts w:ascii="Arial" w:cs="Arial" w:eastAsia="Arial" w:hAnsi="Arial"/>
                <w:sz w:val="19"/>
                <w:szCs w:val="19"/>
              </w:rPr>
              <w:t xml:space="preserve">• Санитарно-эпидемиологический надзор (контроль) (в перечне названа вся группа: касается товаров с этим наименованием): Продукция машиностроения и приборостроения производственного, медицинского и бытового назначения, кроме запасных частей к транспортным средствам и бытовой технике (за исключением контактирующих с питьевой водой и пищевыми продуктами); Средства индивидуальной защиты; Иная продукция (товары), в отношении которой одним из государств – членов Евразийского экономического союза введены временные…</w:t>
            </w:r>
          </w:p>
          <w:p>
            <w:pPr>
              <w:spacing w:after="60"/>
            </w:pPr>
            <w:hyperlink w:history="1" r:id="rIdsv8sqsy44_7wql0qekpld">
              <w:r>
                <w:rPr>
                  <w:rFonts w:ascii="Arial" w:cs="Arial" w:eastAsia="Arial" w:hAnsi="Arial"/>
                  <w:color w:val="1F5FBF"/>
                  <w:sz w:val="17"/>
                  <w:szCs w:val="17"/>
                  <w:u w:val="single"/>
                </w:rPr>
                <w:t xml:space="preserve">Решение Коллегии Евразийской экономической комиссии от 17.09.2019 № 154</w:t>
              </w:r>
            </w:hyperlink>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Прочие особенности</w:t>
            </w:r>
          </w:p>
        </w:tc>
        <w:tc>
          <w:tcPr>
            <w:tcW w:type="dxa" w:w="7604"/>
            <w:tcMar>
              <w:top w:type="dxa" w:w="80"/>
              <w:left w:type="dxa" w:w="120"/>
              <w:bottom w:type="dxa" w:w="80"/>
              <w:right w:type="dxa" w:w="120"/>
            </w:tcMar>
          </w:tcPr>
          <w:p>
            <w:pPr>
              <w:spacing w:after="60"/>
              <w:ind w:left="220" w:hanging="160"/>
            </w:pPr>
            <w:r>
              <w:rPr>
                <w:rFonts w:ascii="Arial" w:cs="Arial" w:eastAsia="Arial" w:hAnsi="Arial"/>
                <w:sz w:val="19"/>
                <w:szCs w:val="19"/>
              </w:rPr>
              <w:t xml:space="preserve">• Деревянная упаковка и крепёжный материал (поддоны, ящики, прокладки) должны иметь маркировку по международному стандарту МСФМ № 15 (Единые карантинные фитосанитарные требования, </w:t>
            </w:r>
            <w:hyperlink w:history="1" r:id="rIdvx8dfiq-gp1e1akivptvo">
              <w:r>
                <w:rPr>
                  <w:rFonts w:ascii="Arial" w:cs="Arial" w:eastAsia="Arial" w:hAnsi="Arial"/>
                  <w:color w:val="1F5FBF"/>
                  <w:sz w:val="19"/>
                  <w:szCs w:val="19"/>
                  <w:u w:val="single"/>
                </w:rPr>
                <w:t xml:space="preserve">решение Совета ЕЭК от 30.11.2016 № 157</w:t>
              </w:r>
            </w:hyperlink>
            <w:r>
              <w:rPr>
                <w:rFonts w:ascii="Arial" w:cs="Arial" w:eastAsia="Arial" w:hAnsi="Arial"/>
                <w:sz w:val="19"/>
                <w:szCs w:val="19"/>
              </w:rPr>
              <w:t xml:space="preserve">).</w:t>
            </w:r>
          </w:p>
          <w:p>
            <w:pPr>
              <w:spacing w:after="60"/>
              <w:ind w:left="220" w:hanging="160"/>
            </w:pPr>
            <w:r>
              <w:rPr>
                <w:rFonts w:ascii="Arial" w:cs="Arial" w:eastAsia="Arial" w:hAnsi="Arial"/>
                <w:sz w:val="19"/>
                <w:szCs w:val="19"/>
              </w:rPr>
              <w:t xml:space="preserve">• Если на товаре есть товарный знак, проверьте его в таможенном реестре объектов интеллектуальной собственности: выпуск товара со знаком из реестра могут приостановить до подтверждения прав. Поиск по реестру: https://imexp.ru/tools/proverka-tovara?tab=trois</w:t>
            </w:r>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Экспортный контроль</w:t>
            </w:r>
          </w:p>
        </w:tc>
        <w:tc>
          <w:tcPr>
            <w:tcW w:type="dxa" w:w="7604"/>
            <w:tcMar>
              <w:top w:type="dxa" w:w="80"/>
              <w:left w:type="dxa" w:w="120"/>
              <w:bottom w:type="dxa" w:w="80"/>
              <w:right w:type="dxa" w:w="120"/>
            </w:tcMar>
          </w:tcPr>
          <w:p>
            <w:pPr>
              <w:spacing w:after="60"/>
              <w:ind w:left="220" w:hanging="160"/>
            </w:pPr>
            <w:r>
              <w:rPr>
                <w:rFonts w:ascii="Arial" w:cs="Arial" w:eastAsia="Arial" w:hAnsi="Arial"/>
                <w:sz w:val="19"/>
                <w:szCs w:val="19"/>
              </w:rPr>
              <w:t xml:space="preserve">• </w:t>
            </w:r>
            <w:hyperlink w:history="1" r:id="rIdmbwrwuui4yhmsqsg6vlrg">
              <w:r>
                <w:rPr>
                  <w:rFonts w:ascii="Arial" w:cs="Arial" w:eastAsia="Arial" w:hAnsi="Arial"/>
                  <w:color w:val="1F5FBF"/>
                  <w:sz w:val="19"/>
                  <w:szCs w:val="19"/>
                  <w:u w:val="single"/>
                </w:rPr>
                <w:t xml:space="preserve">Постановление № 1299</w:t>
              </w:r>
            </w:hyperlink>
            <w:r>
              <w:rPr>
                <w:rFonts w:ascii="Arial" w:cs="Arial" w:eastAsia="Arial" w:hAnsi="Arial"/>
                <w:sz w:val="19"/>
                <w:szCs w:val="19"/>
              </w:rPr>
              <w:t xml:space="preserve">, пункт 6.1.4.6: Оборудование для измерения динамического волнового фронта, имеющее все следующие характеристики: а) частоту кадров, равную 1 кГц или более; и б) точность волнового фронта на рассчитанной длине волны, равную /20 или менее (лучше)</w:t>
            </w:r>
          </w:p>
          <w:p>
            <w:pPr>
              <w:spacing w:after="60"/>
              <w:ind w:left="220" w:hanging="160"/>
            </w:pPr>
            <w:r>
              <w:rPr>
                <w:rFonts w:ascii="Arial" w:cs="Arial" w:eastAsia="Arial" w:hAnsi="Arial"/>
                <w:sz w:val="19"/>
                <w:szCs w:val="19"/>
              </w:rPr>
              <w:t xml:space="preserve">• </w:t>
            </w:r>
            <w:hyperlink w:history="1" r:id="rIdmbmeqxwqfgfmx1apsb7zu">
              <w:r>
                <w:rPr>
                  <w:rFonts w:ascii="Arial" w:cs="Arial" w:eastAsia="Arial" w:hAnsi="Arial"/>
                  <w:color w:val="1F5FBF"/>
                  <w:sz w:val="19"/>
                  <w:szCs w:val="19"/>
                  <w:u w:val="single"/>
                </w:rPr>
                <w:t xml:space="preserve">Постановление № 1299</w:t>
              </w:r>
            </w:hyperlink>
            <w:r>
              <w:rPr>
                <w:rFonts w:ascii="Arial" w:cs="Arial" w:eastAsia="Arial" w:hAnsi="Arial"/>
                <w:sz w:val="19"/>
                <w:szCs w:val="19"/>
              </w:rPr>
              <w:t xml:space="preserve">, пункт 7.2.1: Оборудование для испытаний, калибровки или юстировки, специально разработанное для оборудования, определенного в пункте 7.1</w:t>
            </w:r>
          </w:p>
          <w:p>
            <w:pPr>
              <w:spacing w:after="60"/>
              <w:ind w:left="220" w:hanging="160"/>
            </w:pPr>
            <w:r>
              <w:rPr>
                <w:rFonts w:ascii="Arial" w:cs="Arial" w:eastAsia="Arial" w:hAnsi="Arial"/>
                <w:sz w:val="19"/>
                <w:szCs w:val="19"/>
              </w:rPr>
              <w:t xml:space="preserve">• </w:t>
            </w:r>
            <w:hyperlink w:history="1" r:id="rIdapnieyy9vy5ahuogpsmp4">
              <w:r>
                <w:rPr>
                  <w:rFonts w:ascii="Arial" w:cs="Arial" w:eastAsia="Arial" w:hAnsi="Arial"/>
                  <w:color w:val="1F5FBF"/>
                  <w:sz w:val="19"/>
                  <w:szCs w:val="19"/>
                  <w:u w:val="single"/>
                </w:rPr>
                <w:t xml:space="preserve">Постановление № 1299</w:t>
              </w:r>
            </w:hyperlink>
            <w:r>
              <w:rPr>
                <w:rFonts w:ascii="Arial" w:cs="Arial" w:eastAsia="Arial" w:hAnsi="Arial"/>
                <w:sz w:val="19"/>
                <w:szCs w:val="19"/>
              </w:rPr>
              <w:t xml:space="preserve">, пункт 7.2.2.1: Рефлектометры, имеющие точность измерения в 10 миллионных долей или меньше (лучше);</w:t>
            </w:r>
          </w:p>
          <w:p>
            <w:pPr>
              <w:spacing w:after="60"/>
              <w:ind w:left="220" w:hanging="160"/>
            </w:pPr>
            <w:r>
              <w:rPr>
                <w:rFonts w:ascii="Arial" w:cs="Arial" w:eastAsia="Arial" w:hAnsi="Arial"/>
                <w:sz w:val="19"/>
                <w:szCs w:val="19"/>
              </w:rPr>
              <w:t xml:space="preserve">• </w:t>
            </w:r>
            <w:hyperlink w:history="1" r:id="rIddhapdltyg6sjhsqu8_hpi">
              <w:r>
                <w:rPr>
                  <w:rFonts w:ascii="Arial" w:cs="Arial" w:eastAsia="Arial" w:hAnsi="Arial"/>
                  <w:color w:val="1F5FBF"/>
                  <w:sz w:val="19"/>
                  <w:szCs w:val="19"/>
                  <w:u w:val="single"/>
                </w:rPr>
                <w:t xml:space="preserve">Постановление № 1299</w:t>
              </w:r>
            </w:hyperlink>
            <w:r>
              <w:rPr>
                <w:rFonts w:ascii="Arial" w:cs="Arial" w:eastAsia="Arial" w:hAnsi="Arial"/>
                <w:sz w:val="19"/>
                <w:szCs w:val="19"/>
              </w:rPr>
              <w:t xml:space="preserve">, пункт 7.2.2.2: Профилометры, имеющие точность измерения в 0,5 нм (5 ангстрем) или меньше (лучше)</w:t>
            </w:r>
          </w:p>
          <w:p>
            <w:pPr>
              <w:spacing w:after="60"/>
              <w:ind w:left="220" w:hanging="160"/>
            </w:pPr>
            <w:r>
              <w:rPr>
                <w:rFonts w:ascii="Arial" w:cs="Arial" w:eastAsia="Arial" w:hAnsi="Arial"/>
                <w:sz w:val="19"/>
                <w:szCs w:val="19"/>
              </w:rPr>
              <w:t xml:space="preserve">• </w:t>
            </w:r>
            <w:hyperlink w:history="1" r:id="rIdjaz2ue7sbospnrydawpq0">
              <w:r>
                <w:rPr>
                  <w:rFonts w:ascii="Arial" w:cs="Arial" w:eastAsia="Arial" w:hAnsi="Arial"/>
                  <w:color w:val="1F5FBF"/>
                  <w:sz w:val="19"/>
                  <w:szCs w:val="19"/>
                  <w:u w:val="single"/>
                </w:rPr>
                <w:t xml:space="preserve">Постановление № 1299</w:t>
              </w:r>
            </w:hyperlink>
            <w:r>
              <w:rPr>
                <w:rFonts w:ascii="Arial" w:cs="Arial" w:eastAsia="Arial" w:hAnsi="Arial"/>
                <w:sz w:val="19"/>
                <w:szCs w:val="19"/>
              </w:rPr>
              <w:t xml:space="preserve">, пункт 7.2.3: Оборудование, специально разработанное для производства оборудования, определенного в пункте 7.1</w:t>
            </w:r>
          </w:p>
          <w:p>
            <w:pPr>
              <w:spacing w:after="60"/>
            </w:pPr>
            <w:r>
              <w:rPr>
                <w:rFonts w:ascii="Arial" w:cs="Arial" w:eastAsia="Arial" w:hAnsi="Arial"/>
                <w:color w:val="5B6472"/>
                <w:sz w:val="17"/>
                <w:szCs w:val="17"/>
              </w:rPr>
              <w:t xml:space="preserve">Ещё пунктов: 14, все — на странице кода.</w:t>
            </w:r>
          </w:p>
          <w:p>
            <w:pPr>
              <w:spacing w:after="60"/>
            </w:pPr>
            <w:hyperlink w:history="1" r:id="rIdl-hclmqk5l12xqbqxydoa">
              <w:r>
                <w:rPr>
                  <w:rFonts w:ascii="Arial" w:cs="Arial" w:eastAsia="Arial" w:hAnsi="Arial"/>
                  <w:color w:val="1F5FBF"/>
                  <w:sz w:val="17"/>
                  <w:szCs w:val="17"/>
                  <w:u w:val="single"/>
                </w:rPr>
                <w:t xml:space="preserve">Постановление Правительства РФ от 19.07.2022 № 1299</w:t>
              </w:r>
            </w:hyperlink>
            <w:r>
              <w:rPr>
                <w:rFonts w:ascii="Arial" w:cs="Arial" w:eastAsia="Arial" w:hAnsi="Arial"/>
                <w:color w:val="5B6472"/>
                <w:sz w:val="17"/>
                <w:szCs w:val="17"/>
              </w:rPr>
              <w:t xml:space="preserve">; </w:t>
            </w:r>
            <w:hyperlink w:history="1" r:id="rIdqgiuemj3suekglf-pvstb">
              <w:r>
                <w:rPr>
                  <w:rFonts w:ascii="Arial" w:cs="Arial" w:eastAsia="Arial" w:hAnsi="Arial"/>
                  <w:color w:val="1F5FBF"/>
                  <w:sz w:val="17"/>
                  <w:szCs w:val="17"/>
                  <w:u w:val="single"/>
                </w:rPr>
                <w:t xml:space="preserve">Постановление Правительства РФ от 16.07.2022 № 1288</w:t>
              </w:r>
            </w:hyperlink>
            <w:r>
              <w:rPr>
                <w:rFonts w:ascii="Arial" w:cs="Arial" w:eastAsia="Arial" w:hAnsi="Arial"/>
                <w:color w:val="5B6472"/>
                <w:sz w:val="17"/>
                <w:szCs w:val="17"/>
              </w:rPr>
              <w:t xml:space="preserve">; </w:t>
            </w:r>
            <w:hyperlink w:history="1" r:id="rIdokwcjb92pl9glma-4y_qw">
              <w:r>
                <w:rPr>
                  <w:rFonts w:ascii="Arial" w:cs="Arial" w:eastAsia="Arial" w:hAnsi="Arial"/>
                  <w:color w:val="1F5FBF"/>
                  <w:sz w:val="17"/>
                  <w:szCs w:val="17"/>
                  <w:u w:val="single"/>
                </w:rPr>
                <w:t xml:space="preserve">Постановление Правительства РФ от 16.07.2022 № 1286</w:t>
              </w:r>
            </w:hyperlink>
            <w:r>
              <w:rPr>
                <w:rFonts w:ascii="Arial" w:cs="Arial" w:eastAsia="Arial" w:hAnsi="Arial"/>
                <w:color w:val="5B6472"/>
                <w:sz w:val="17"/>
                <w:szCs w:val="17"/>
              </w:rPr>
              <w:t xml:space="preserve">; вывоз — по лицензии или разрешению (</w:t>
            </w:r>
            <w:hyperlink w:history="1" r:id="rIdip3k1vmpvbsjgnhqkzyvx">
              <w:r>
                <w:rPr>
                  <w:rFonts w:ascii="Arial" w:cs="Arial" w:eastAsia="Arial" w:hAnsi="Arial"/>
                  <w:color w:val="1F5FBF"/>
                  <w:sz w:val="17"/>
                  <w:szCs w:val="17"/>
                  <w:u w:val="single"/>
                </w:rPr>
                <w:t xml:space="preserve">Федеральный закон от 18.07.1999 № 183-ФЗ</w:t>
              </w:r>
            </w:hyperlink>
            <w:r>
              <w:rPr>
                <w:rFonts w:ascii="Arial" w:cs="Arial" w:eastAsia="Arial" w:hAnsi="Arial"/>
                <w:color w:val="5B6472"/>
                <w:sz w:val="17"/>
                <w:szCs w:val="17"/>
              </w:rPr>
              <w:t xml:space="preserve"> «Об экспортном контроле»).</w:t>
            </w:r>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Классификация</w:t>
            </w:r>
          </w:p>
        </w:tc>
        <w:tc>
          <w:tcPr>
            <w:tcW w:type="dxa" w:w="7604"/>
            <w:tcMar>
              <w:top w:type="dxa" w:w="80"/>
              <w:left w:type="dxa" w:w="120"/>
              <w:bottom w:type="dxa" w:w="80"/>
              <w:right w:type="dxa" w:w="120"/>
            </w:tcMar>
          </w:tcPr>
          <w:p>
            <w:pPr>
              <w:spacing w:after="60"/>
            </w:pPr>
            <w:r>
              <w:rPr>
                <w:rFonts w:ascii="Arial" w:cs="Arial" w:eastAsia="Arial" w:hAnsi="Arial"/>
                <w:b/>
                <w:bCs/>
                <w:sz w:val="19"/>
                <w:szCs w:val="19"/>
              </w:rPr>
              <w:t xml:space="preserve">Предварительные решения о классификации, принятые в России (1):</w:t>
            </w:r>
          </w:p>
          <w:p>
            <w:pPr>
              <w:spacing w:after="60"/>
              <w:ind w:left="220" w:hanging="160"/>
            </w:pPr>
            <w:r>
              <w:rPr>
                <w:rFonts w:ascii="Arial" w:cs="Arial" w:eastAsia="Arial" w:hAnsi="Arial"/>
                <w:sz w:val="19"/>
                <w:szCs w:val="19"/>
              </w:rPr>
              <w:t xml:space="preserve">• Электрод ионизации представляет собой стержень из хромали (сплав железа с хромом и алюминием) частично заключенный в керамический изолятор, предназначен для работы в составе газовых котлов. Является датчиком, формирующим электрический сигнал. Предназначен для…</w:t>
            </w:r>
          </w:p>
          <w:p>
            <w:pPr>
              <w:spacing w:after="60"/>
            </w:pPr>
            <w:r>
              <w:rPr>
                <w:rFonts w:ascii="Arial" w:cs="Arial" w:eastAsia="Arial" w:hAnsi="Arial"/>
                <w:color w:val="5B6472"/>
                <w:sz w:val="17"/>
                <w:szCs w:val="17"/>
              </w:rPr>
              <w:t xml:space="preserve">В соответствии с ОПИ 1 и 6</w:t>
            </w:r>
          </w:p>
          <w:p>
            <w:pPr>
              <w:spacing w:after="60"/>
            </w:pPr>
            <w:r>
              <w:rPr>
                <w:rFonts w:ascii="Arial" w:cs="Arial" w:eastAsia="Arial" w:hAnsi="Arial"/>
                <w:b/>
                <w:bCs/>
                <w:sz w:val="19"/>
                <w:szCs w:val="19"/>
              </w:rPr>
              <w:t xml:space="preserve">Предварительные решения других стран ЕАЭС (6); обязательны только в стране, которая их приняла:</w:t>
            </w:r>
          </w:p>
          <w:p>
            <w:pPr>
              <w:spacing w:after="60"/>
              <w:ind w:left="220" w:hanging="160"/>
            </w:pPr>
            <w:r>
              <w:rPr>
                <w:rFonts w:ascii="Arial" w:cs="Arial" w:eastAsia="Arial" w:hAnsi="Arial"/>
                <w:sz w:val="19"/>
                <w:szCs w:val="19"/>
              </w:rPr>
              <w:t xml:space="preserve">• Беларусь: Весоизмерительный датчик для преобразования изменений статических и квазистатических значений нагрузки (масса груза) в пропорциональные изменения электрического сигнала (напряжение постоянного тока). Используется в автомобильных весах как…</w:t>
            </w:r>
          </w:p>
          <w:p>
            <w:pPr>
              <w:spacing w:after="60"/>
            </w:pPr>
            <w:r>
              <w:rPr>
                <w:rFonts w:ascii="Arial" w:cs="Arial" w:eastAsia="Arial" w:hAnsi="Arial"/>
                <w:color w:val="5B6472"/>
                <w:sz w:val="17"/>
                <w:szCs w:val="17"/>
              </w:rPr>
              <w:t xml:space="preserve">В соответствии с ОПИ 1 (примечание 1 (м) к разделу XVI) и 6 (дополнительное примечание 1 к группе 90)</w:t>
            </w:r>
          </w:p>
          <w:p>
            <w:pPr>
              <w:spacing w:after="60"/>
              <w:ind w:left="220" w:hanging="160"/>
            </w:pPr>
            <w:r>
              <w:rPr>
                <w:rFonts w:ascii="Arial" w:cs="Arial" w:eastAsia="Arial" w:hAnsi="Arial"/>
                <w:sz w:val="19"/>
                <w:szCs w:val="19"/>
              </w:rPr>
              <w:t xml:space="preserve">• Беларусь: Тензодатчик представляет собой прибор, предназначенный для преобразования изменений статистических значений нагрузки (массы электропечи) в пропорциональные изменения электрического сигнала (напряжения). Он состоит из упругого элемента…</w:t>
            </w:r>
          </w:p>
          <w:p>
            <w:pPr>
              <w:spacing w:after="60"/>
            </w:pPr>
            <w:r>
              <w:rPr>
                <w:rFonts w:ascii="Arial" w:cs="Arial" w:eastAsia="Arial" w:hAnsi="Arial"/>
                <w:color w:val="5B6472"/>
                <w:sz w:val="17"/>
                <w:szCs w:val="17"/>
              </w:rPr>
              <w:t xml:space="preserve">В соответствии с ОПИ 1 (примечание 1 (м) к разделу XVI) и 6 (дополнительное примечание 1 к группе 90)</w:t>
            </w:r>
          </w:p>
          <w:p>
            <w:pPr>
              <w:spacing w:after="60"/>
              <w:ind w:left="220" w:hanging="160"/>
            </w:pPr>
            <w:r>
              <w:rPr>
                <w:rFonts w:ascii="Arial" w:cs="Arial" w:eastAsia="Arial" w:hAnsi="Arial"/>
                <w:sz w:val="19"/>
                <w:szCs w:val="19"/>
              </w:rPr>
              <w:t xml:space="preserve">• Казахстан: Линия предназначена для контроля внутренних и поверхностных дефектов, катанных и штампованных изделий. Принцип действия и функции: на линию подается продукция, которая манипуляторами подается поочередно на установки и посты неразрушающего…</w:t>
            </w:r>
          </w:p>
          <w:p>
            <w:pPr>
              <w:spacing w:after="60"/>
            </w:pPr>
            <w:r>
              <w:rPr>
                <w:rFonts w:ascii="Arial" w:cs="Arial" w:eastAsia="Arial" w:hAnsi="Arial"/>
                <w:color w:val="5B6472"/>
                <w:sz w:val="17"/>
                <w:szCs w:val="17"/>
              </w:rPr>
              <w:t xml:space="preserve">ОПИ 1 и 6</w:t>
            </w:r>
          </w:p>
          <w:p>
            <w:pPr>
              <w:spacing w:after="60"/>
              <w:ind w:left="220" w:hanging="160"/>
            </w:pPr>
            <w:r>
              <w:rPr>
                <w:rFonts w:ascii="Arial" w:cs="Arial" w:eastAsia="Arial" w:hAnsi="Arial"/>
                <w:sz w:val="19"/>
                <w:szCs w:val="19"/>
              </w:rPr>
              <w:t xml:space="preserve">• Казахстан: Система WIM (Weigh-in-Motion) представляет собой аппаратно-программный комплекс WIM, производящий измерения веса, скорости, габаритов движущихся транспортных средств через датчики, встроенные в дорожное полотно поперек на всю ширину дороги…</w:t>
            </w:r>
          </w:p>
          <w:p>
            <w:pPr>
              <w:spacing w:after="60"/>
            </w:pPr>
            <w:r>
              <w:rPr>
                <w:rFonts w:ascii="Arial" w:cs="Arial" w:eastAsia="Arial" w:hAnsi="Arial"/>
                <w:color w:val="5B6472"/>
                <w:sz w:val="17"/>
                <w:szCs w:val="17"/>
              </w:rPr>
              <w:t xml:space="preserve">ОПИ 1 и 6</w:t>
            </w:r>
          </w:p>
          <w:p>
            <w:pPr>
              <w:spacing w:after="60"/>
              <w:ind w:left="220" w:hanging="160"/>
            </w:pPr>
            <w:r>
              <w:rPr>
                <w:rFonts w:ascii="Arial" w:cs="Arial" w:eastAsia="Arial" w:hAnsi="Arial"/>
                <w:sz w:val="19"/>
                <w:szCs w:val="19"/>
              </w:rPr>
              <w:t xml:space="preserve">• Казахстан: Система анализа вибрации в полной комплектации /система для диагностики вращающихся механизмов - совокупная система, которая производит высокоскоростную видеосъемку промышленного оборудования, позволяющее пользователям в режиме реального…</w:t>
            </w:r>
          </w:p>
          <w:p>
            <w:pPr>
              <w:spacing w:after="60"/>
            </w:pPr>
            <w:r>
              <w:rPr>
                <w:rFonts w:ascii="Arial" w:cs="Arial" w:eastAsia="Arial" w:hAnsi="Arial"/>
                <w:color w:val="5B6472"/>
                <w:sz w:val="17"/>
                <w:szCs w:val="17"/>
              </w:rPr>
              <w:t xml:space="preserve">ОПИ 1 и 6</w:t>
            </w:r>
          </w:p>
          <w:p>
            <w:pPr>
              <w:spacing w:after="60"/>
            </w:pPr>
            <w:r>
              <w:rPr>
                <w:rFonts w:ascii="Arial" w:cs="Arial" w:eastAsia="Arial" w:hAnsi="Arial"/>
                <w:color w:val="5B6472"/>
                <w:sz w:val="17"/>
                <w:szCs w:val="17"/>
              </w:rPr>
              <w:t xml:space="preserve">Ещё решений: 1, все — на странице кода.</w:t>
            </w:r>
          </w:p>
          <w:p>
            <w:pPr>
              <w:spacing w:after="60"/>
            </w:pPr>
            <w:r>
              <w:rPr>
                <w:rFonts w:ascii="Arial" w:cs="Arial" w:eastAsia="Arial" w:hAnsi="Arial"/>
                <w:color w:val="5B6472"/>
                <w:sz w:val="17"/>
                <w:szCs w:val="17"/>
              </w:rPr>
              <w:t xml:space="preserve">Основание: Таможенный кодекс ЕАЭС, статьи 20–22</w:t>
            </w:r>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Как декларировать</w:t>
            </w:r>
          </w:p>
        </w:tc>
        <w:tc>
          <w:tcPr>
            <w:tcW w:type="dxa" w:w="7604"/>
            <w:tcMar>
              <w:top w:type="dxa" w:w="80"/>
              <w:left w:type="dxa" w:w="120"/>
              <w:bottom w:type="dxa" w:w="80"/>
              <w:right w:type="dxa" w:w="120"/>
            </w:tcMar>
          </w:tcPr>
          <w:p>
            <w:pPr>
              <w:spacing w:after="60"/>
              <w:ind w:left="220" w:hanging="160"/>
            </w:pPr>
            <w:r>
              <w:rPr>
                <w:rFonts w:ascii="Arial" w:cs="Arial" w:eastAsia="Arial" w:hAnsi="Arial"/>
                <w:sz w:val="19"/>
                <w:szCs w:val="19"/>
              </w:rPr>
              <w:t xml:space="preserve">• Можно ввозить в несобранном или разобранном виде несколькими партиями: таможня принимает решение о классификации товара целиком.</w:t>
            </w:r>
          </w:p>
          <w:p>
            <w:pPr>
              <w:spacing w:after="60"/>
            </w:pPr>
            <w:hyperlink w:history="1" r:id="rIdsqfd5dt40svnj1wopf9zv">
              <w:r>
                <w:rPr>
                  <w:rFonts w:ascii="Arial" w:cs="Arial" w:eastAsia="Arial" w:hAnsi="Arial"/>
                  <w:color w:val="1F5FBF"/>
                  <w:sz w:val="17"/>
                  <w:szCs w:val="17"/>
                  <w:u w:val="single"/>
                </w:rPr>
                <w:t xml:space="preserve">Решение Коллегии ЕЭК от 03.04.2018 № 45</w:t>
              </w:r>
            </w:hyperlink>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Декларирование</w:t>
            </w:r>
          </w:p>
        </w:tc>
        <w:tc>
          <w:tcPr>
            <w:tcW w:type="dxa" w:w="7604"/>
            <w:tcMar>
              <w:top w:type="dxa" w:w="80"/>
              <w:left w:type="dxa" w:w="120"/>
              <w:bottom w:type="dxa" w:w="80"/>
              <w:right w:type="dxa" w:w="120"/>
            </w:tcMar>
          </w:tcPr>
          <w:p>
            <w:pPr>
              <w:spacing w:after="60"/>
            </w:pPr>
            <w:r>
              <w:rPr>
                <w:rFonts w:ascii="Arial" w:cs="Arial" w:eastAsia="Arial" w:hAnsi="Arial"/>
                <w:b/>
                <w:bCs/>
                <w:sz w:val="19"/>
                <w:szCs w:val="19"/>
              </w:rPr>
              <w:t xml:space="preserve">Графа 33 · Код товара</w:t>
            </w:r>
          </w:p>
          <w:p>
            <w:pPr>
              <w:spacing w:after="60"/>
              <w:ind w:left="220" w:hanging="160"/>
            </w:pPr>
            <w:r>
              <w:rPr>
                <w:rFonts w:ascii="Arial" w:cs="Arial" w:eastAsia="Arial" w:hAnsi="Arial"/>
                <w:sz w:val="19"/>
                <w:szCs w:val="19"/>
              </w:rPr>
              <w:t xml:space="preserve">• 9031809800</w:t>
            </w:r>
          </w:p>
          <w:p>
            <w:pPr>
              <w:spacing w:after="60"/>
              <w:ind w:left="220" w:hanging="160"/>
            </w:pPr>
            <w:r>
              <w:rPr>
                <w:rFonts w:ascii="Arial" w:cs="Arial" w:eastAsia="Arial" w:hAnsi="Arial"/>
                <w:sz w:val="19"/>
                <w:szCs w:val="19"/>
              </w:rPr>
              <w:t xml:space="preserve">• С — во втором подразделе, если товар по характеристикам не подпадает под запреты и ограничения, которые применяются к коду</w:t>
            </w:r>
          </w:p>
          <w:p>
            <w:pPr>
              <w:spacing w:after="60"/>
              <w:ind w:left="220" w:hanging="160"/>
            </w:pPr>
            <w:r>
              <w:rPr>
                <w:rFonts w:ascii="Arial" w:cs="Arial" w:eastAsia="Arial" w:hAnsi="Arial"/>
                <w:sz w:val="19"/>
                <w:szCs w:val="19"/>
              </w:rPr>
              <w:t xml:space="preserve">• О — во втором подразделе, если под одним кодом декларируются товары разных наименований</w:t>
            </w:r>
          </w:p>
          <w:p>
            <w:pPr>
              <w:spacing w:after="60"/>
            </w:pPr>
            <w:r>
              <w:rPr>
                <w:rFonts w:ascii="Arial" w:cs="Arial" w:eastAsia="Arial" w:hAnsi="Arial"/>
                <w:b/>
                <w:bCs/>
                <w:sz w:val="19"/>
                <w:szCs w:val="19"/>
              </w:rPr>
              <w:t xml:space="preserve">Графа 36 · Преференция</w:t>
            </w:r>
          </w:p>
          <w:p>
            <w:pPr>
              <w:spacing w:after="60"/>
              <w:ind w:left="220" w:hanging="160"/>
            </w:pPr>
            <w:r>
              <w:rPr>
                <w:rFonts w:ascii="Arial" w:cs="Arial" w:eastAsia="Arial" w:hAnsi="Arial"/>
                <w:sz w:val="19"/>
                <w:szCs w:val="19"/>
              </w:rPr>
              <w:t xml:space="preserve">• ОООО-ОО — Сборы, пошлина, акциз, НДС: льготы не запрашиваются, акциза нет (прочерк)</w:t>
            </w:r>
          </w:p>
          <w:p>
            <w:pPr>
              <w:spacing w:after="60"/>
              <w:ind w:left="220" w:hanging="160"/>
            </w:pPr>
            <w:r>
              <w:rPr>
                <w:rFonts w:ascii="Arial" w:cs="Arial" w:eastAsia="Arial" w:hAnsi="Arial"/>
                <w:sz w:val="19"/>
                <w:szCs w:val="19"/>
              </w:rPr>
              <w:t xml:space="preserve">• ООНН-ОО — Тарифная преференция в отношении товаров, происходящих из наименее развитых стран · если товар происходит из наименее развитой страны и происхождение подтверждено</w:t>
            </w:r>
          </w:p>
          <w:p>
            <w:pPr>
              <w:spacing w:after="60"/>
            </w:pPr>
            <w:r>
              <w:rPr>
                <w:rFonts w:ascii="Arial" w:cs="Arial" w:eastAsia="Arial" w:hAnsi="Arial"/>
                <w:b/>
                <w:bCs/>
                <w:sz w:val="19"/>
                <w:szCs w:val="19"/>
              </w:rPr>
              <w:t xml:space="preserve">Графа 44 · Представленные документы</w:t>
            </w:r>
          </w:p>
          <w:p>
            <w:pPr>
              <w:spacing w:after="60"/>
              <w:ind w:left="220" w:hanging="160"/>
            </w:pPr>
            <w:r>
              <w:rPr>
                <w:rFonts w:ascii="Arial" w:cs="Arial" w:eastAsia="Arial" w:hAnsi="Arial"/>
                <w:sz w:val="19"/>
                <w:szCs w:val="19"/>
              </w:rPr>
              <w:t xml:space="preserve">• 01401 — Сертификат соответствия требованиям технического регламента Евразийского экономического союза (Таможенного союза) · </w:t>
            </w:r>
            <w:hyperlink w:history="1" r:id="rIdxdjj8scokyoitrmbe-nkv">
              <w:r>
                <w:rPr>
                  <w:rFonts w:ascii="Arial" w:cs="Arial" w:eastAsia="Arial" w:hAnsi="Arial"/>
                  <w:color w:val="1F5FBF"/>
                  <w:sz w:val="19"/>
                  <w:szCs w:val="19"/>
                  <w:u w:val="single"/>
                </w:rPr>
                <w:t xml:space="preserve">ТР ТС 010/2011</w:t>
              </w:r>
            </w:hyperlink>
            <w:r>
              <w:rPr>
                <w:rFonts w:ascii="Arial" w:cs="Arial" w:eastAsia="Arial" w:hAnsi="Arial"/>
                <w:sz w:val="19"/>
                <w:szCs w:val="19"/>
              </w:rPr>
              <w:t xml:space="preserve">; </w:t>
            </w:r>
            <w:hyperlink w:history="1" r:id="rIdbmf3acqzr9jbb3yegfv-k">
              <w:r>
                <w:rPr>
                  <w:rFonts w:ascii="Arial" w:cs="Arial" w:eastAsia="Arial" w:hAnsi="Arial"/>
                  <w:color w:val="1F5FBF"/>
                  <w:sz w:val="19"/>
                  <w:szCs w:val="19"/>
                  <w:u w:val="single"/>
                </w:rPr>
                <w:t xml:space="preserve">ТР ТС 018/2011</w:t>
              </w:r>
            </w:hyperlink>
            <w:r>
              <w:rPr>
                <w:rFonts w:ascii="Arial" w:cs="Arial" w:eastAsia="Arial" w:hAnsi="Arial"/>
                <w:sz w:val="19"/>
                <w:szCs w:val="19"/>
              </w:rPr>
              <w:t xml:space="preserve">; </w:t>
            </w:r>
            <w:hyperlink w:history="1" r:id="rIdqt0pas29i8pcj-di0kwkp">
              <w:r>
                <w:rPr>
                  <w:rFonts w:ascii="Arial" w:cs="Arial" w:eastAsia="Arial" w:hAnsi="Arial"/>
                  <w:color w:val="1F5FBF"/>
                  <w:sz w:val="19"/>
                  <w:szCs w:val="19"/>
                  <w:u w:val="single"/>
                </w:rPr>
                <w:t xml:space="preserve">ТР ТС 032/2013</w:t>
              </w:r>
            </w:hyperlink>
            <w:r>
              <w:rPr>
                <w:rFonts w:ascii="Arial" w:cs="Arial" w:eastAsia="Arial" w:hAnsi="Arial"/>
                <w:sz w:val="19"/>
                <w:szCs w:val="19"/>
              </w:rPr>
              <w:t xml:space="preserve">; </w:t>
            </w:r>
            <w:hyperlink w:history="1" r:id="rIdfikhgc2rcf5_mcrvpoqy9">
              <w:r>
                <w:rPr>
                  <w:rFonts w:ascii="Arial" w:cs="Arial" w:eastAsia="Arial" w:hAnsi="Arial"/>
                  <w:color w:val="1F5FBF"/>
                  <w:sz w:val="19"/>
                  <w:szCs w:val="19"/>
                  <w:u w:val="single"/>
                </w:rPr>
                <w:t xml:space="preserve">ТР ТС 031/2012</w:t>
              </w:r>
            </w:hyperlink>
            <w:r>
              <w:rPr>
                <w:rFonts w:ascii="Arial" w:cs="Arial" w:eastAsia="Arial" w:hAnsi="Arial"/>
                <w:sz w:val="19"/>
                <w:szCs w:val="19"/>
              </w:rPr>
              <w:t xml:space="preserve">; </w:t>
            </w:r>
            <w:hyperlink w:history="1" r:id="rIdbz7cfd1nfzqhyhw0rti70">
              <w:r>
                <w:rPr>
                  <w:rFonts w:ascii="Arial" w:cs="Arial" w:eastAsia="Arial" w:hAnsi="Arial"/>
                  <w:color w:val="1F5FBF"/>
                  <w:sz w:val="19"/>
                  <w:szCs w:val="19"/>
                  <w:u w:val="single"/>
                </w:rPr>
                <w:t xml:space="preserve">ТР ЕАЭС 050/2021</w:t>
              </w:r>
            </w:hyperlink>
          </w:p>
          <w:p>
            <w:pPr>
              <w:spacing w:after="60"/>
              <w:ind w:left="220" w:hanging="160"/>
            </w:pPr>
            <w:r>
              <w:rPr>
                <w:rFonts w:ascii="Arial" w:cs="Arial" w:eastAsia="Arial" w:hAnsi="Arial"/>
                <w:sz w:val="19"/>
                <w:szCs w:val="19"/>
              </w:rPr>
              <w:t xml:space="preserve">• 01402 — Декларация о соответствии требованиям технического регламента Евразийского экономического союза (Таможенного союза) · </w:t>
            </w:r>
            <w:hyperlink w:history="1" r:id="rId6_o6m95c0s1gf2sbpipyg">
              <w:r>
                <w:rPr>
                  <w:rFonts w:ascii="Arial" w:cs="Arial" w:eastAsia="Arial" w:hAnsi="Arial"/>
                  <w:color w:val="1F5FBF"/>
                  <w:sz w:val="19"/>
                  <w:szCs w:val="19"/>
                  <w:u w:val="single"/>
                </w:rPr>
                <w:t xml:space="preserve">ТР ТС 018/2011</w:t>
              </w:r>
            </w:hyperlink>
            <w:r>
              <w:rPr>
                <w:rFonts w:ascii="Arial" w:cs="Arial" w:eastAsia="Arial" w:hAnsi="Arial"/>
                <w:sz w:val="19"/>
                <w:szCs w:val="19"/>
              </w:rPr>
              <w:t xml:space="preserve">; </w:t>
            </w:r>
            <w:hyperlink w:history="1" r:id="rIduopgnrktudzui_t2poenn">
              <w:r>
                <w:rPr>
                  <w:rFonts w:ascii="Arial" w:cs="Arial" w:eastAsia="Arial" w:hAnsi="Arial"/>
                  <w:color w:val="1F5FBF"/>
                  <w:sz w:val="19"/>
                  <w:szCs w:val="19"/>
                  <w:u w:val="single"/>
                </w:rPr>
                <w:t xml:space="preserve">ТР ТС 032/2013</w:t>
              </w:r>
            </w:hyperlink>
          </w:p>
          <w:p>
            <w:pPr>
              <w:spacing w:after="60"/>
              <w:ind w:left="220" w:hanging="160"/>
            </w:pPr>
            <w:r>
              <w:rPr>
                <w:rFonts w:ascii="Arial" w:cs="Arial" w:eastAsia="Arial" w:hAnsi="Arial"/>
                <w:sz w:val="19"/>
                <w:szCs w:val="19"/>
              </w:rPr>
              <w:t xml:space="preserve">• 01408 — Документ об оценке соответствия, предусмотренный законодательством государства – члена Евразийского экономического союза, на территории которого продукция (товар) помещается под таможенные процедуры · Постановление № 2425</w:t>
            </w:r>
          </w:p>
          <w:p>
            <w:pPr>
              <w:spacing w:after="60"/>
              <w:ind w:left="220" w:hanging="160"/>
            </w:pPr>
            <w:r>
              <w:rPr>
                <w:rFonts w:ascii="Arial" w:cs="Arial" w:eastAsia="Arial" w:hAnsi="Arial"/>
                <w:sz w:val="19"/>
                <w:szCs w:val="19"/>
              </w:rPr>
              <w:t xml:space="preserve">• 06013 — Сертификат о происхождении товара формы "А" · если товар ввозится с тарифной преференцией</w:t>
            </w:r>
          </w:p>
          <w:p>
            <w:pPr>
              <w:spacing w:after="60"/>
            </w:pPr>
            <w:r>
              <w:rPr>
                <w:rFonts w:ascii="Arial" w:cs="Arial" w:eastAsia="Arial" w:hAnsi="Arial"/>
                <w:b/>
                <w:bCs/>
                <w:sz w:val="19"/>
                <w:szCs w:val="19"/>
              </w:rPr>
              <w:t xml:space="preserve">Графа 47 · Исчисление платежей</w:t>
            </w:r>
          </w:p>
          <w:p>
            <w:pPr>
              <w:spacing w:after="60"/>
              <w:ind w:left="220" w:hanging="160"/>
            </w:pPr>
            <w:r>
              <w:rPr>
                <w:rFonts w:ascii="Arial" w:cs="Arial" w:eastAsia="Arial" w:hAnsi="Arial"/>
                <w:sz w:val="19"/>
                <w:szCs w:val="19"/>
              </w:rPr>
              <w:t xml:space="preserve">• 1010 — Таможенные сборы за совершение таможенных операций (за таможенное оформление товаров, за таможенное декларирование товаров, за таможенные операции)</w:t>
            </w:r>
          </w:p>
          <w:p>
            <w:pPr>
              <w:spacing w:after="60"/>
              <w:ind w:left="220" w:hanging="160"/>
            </w:pPr>
            <w:r>
              <w:rPr>
                <w:rFonts w:ascii="Arial" w:cs="Arial" w:eastAsia="Arial" w:hAnsi="Arial"/>
                <w:sz w:val="19"/>
                <w:szCs w:val="19"/>
              </w:rPr>
              <w:t xml:space="preserve">• 2010 — Ввозная таможенная пошлина (иные пошлины, налоги и сборы, имеющие эквивалентное действие), обязанность по уплате которой возникла с 1 сентября 2010 г.</w:t>
            </w:r>
          </w:p>
          <w:p>
            <w:pPr>
              <w:spacing w:after="60"/>
              <w:ind w:left="220" w:hanging="160"/>
            </w:pPr>
            <w:r>
              <w:rPr>
                <w:rFonts w:ascii="Arial" w:cs="Arial" w:eastAsia="Arial" w:hAnsi="Arial"/>
                <w:sz w:val="19"/>
                <w:szCs w:val="19"/>
              </w:rPr>
              <w:t xml:space="preserve">• 5010 — Налог на добавленную стоимость</w:t>
            </w:r>
          </w:p>
          <w:p>
            <w:pPr>
              <w:spacing w:after="60"/>
            </w:pPr>
            <w:r>
              <w:rPr>
                <w:rFonts w:ascii="Arial" w:cs="Arial" w:eastAsia="Arial" w:hAnsi="Arial"/>
                <w:color w:val="5B6472"/>
                <w:sz w:val="17"/>
                <w:szCs w:val="17"/>
              </w:rPr>
              <w:t xml:space="preserve">Основание: </w:t>
            </w:r>
            <w:hyperlink w:history="1" r:id="rIdeypflxl-ndrqhsfkyexc_">
              <w:r>
                <w:rPr>
                  <w:rFonts w:ascii="Arial" w:cs="Arial" w:eastAsia="Arial" w:hAnsi="Arial"/>
                  <w:color w:val="1F5FBF"/>
                  <w:sz w:val="17"/>
                  <w:szCs w:val="17"/>
                  <w:u w:val="single"/>
                </w:rPr>
                <w:t xml:space="preserve">Решение Комиссии Таможенного союза от 20.05.2010 № 257</w:t>
              </w:r>
            </w:hyperlink>
            <w:r>
              <w:rPr>
                <w:rFonts w:ascii="Arial" w:cs="Arial" w:eastAsia="Arial" w:hAnsi="Arial"/>
                <w:color w:val="5B6472"/>
                <w:sz w:val="17"/>
                <w:szCs w:val="17"/>
              </w:rPr>
              <w:t xml:space="preserve">; классификаторы — </w:t>
            </w:r>
            <w:hyperlink w:history="1" r:id="rIdypjakyazc29qf_9xduxov">
              <w:r>
                <w:rPr>
                  <w:rFonts w:ascii="Arial" w:cs="Arial" w:eastAsia="Arial" w:hAnsi="Arial"/>
                  <w:color w:val="1F5FBF"/>
                  <w:sz w:val="17"/>
                  <w:szCs w:val="17"/>
                  <w:u w:val="single"/>
                </w:rPr>
                <w:t xml:space="preserve">Решение Комиссии Таможенного союза от 20.09.2010 № 378</w:t>
              </w:r>
            </w:hyperlink>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Как менялась ставка</w:t>
            </w:r>
          </w:p>
        </w:tc>
        <w:tc>
          <w:tcPr>
            <w:tcW w:type="dxa" w:w="7604"/>
            <w:tcMar>
              <w:top w:type="dxa" w:w="80"/>
              <w:left w:type="dxa" w:w="120"/>
              <w:bottom w:type="dxa" w:w="80"/>
              <w:right w:type="dxa" w:w="120"/>
            </w:tcMar>
          </w:tcPr>
          <w:p>
            <w:pPr>
              <w:spacing w:after="60"/>
            </w:pPr>
            <w:r>
              <w:rPr>
                <w:rFonts w:ascii="Arial" w:cs="Arial" w:eastAsia="Arial" w:hAnsi="Arial"/>
                <w:sz w:val="19"/>
                <w:szCs w:val="19"/>
              </w:rPr>
              <w:t xml:space="preserve">Решения ЕЭК с 2016 года, в тексте которых назван код: ставка пошлины, тарифные квоты, защитные и антидемпинговые пошлины. Прежняя ставка — в таблице самого решения.</w:t>
            </w:r>
          </w:p>
          <w:p>
            <w:pPr>
              <w:spacing w:after="60"/>
              <w:ind w:left="220" w:hanging="160"/>
            </w:pPr>
            <w:r>
              <w:rPr>
                <w:rFonts w:ascii="Arial" w:cs="Arial" w:eastAsia="Arial" w:hAnsi="Arial"/>
                <w:sz w:val="19"/>
                <w:szCs w:val="19"/>
              </w:rPr>
              <w:t xml:space="preserve">• </w:t>
            </w:r>
            <w:hyperlink w:history="1" r:id="rIddgi1boztdlgh7gesmjrna">
              <w:r>
                <w:rPr>
                  <w:rFonts w:ascii="Arial" w:cs="Arial" w:eastAsia="Arial" w:hAnsi="Arial"/>
                  <w:color w:val="1F5FBF"/>
                  <w:sz w:val="19"/>
                  <w:szCs w:val="19"/>
                  <w:u w:val="single"/>
                </w:rPr>
                <w:t xml:space="preserve">Решение Коллегии ЕЭК № 1 от 14.01.2025</w:t>
              </w:r>
            </w:hyperlink>
            <w:r>
              <w:rPr>
                <w:rFonts w:ascii="Arial" w:cs="Arial" w:eastAsia="Arial" w:hAnsi="Arial"/>
                <w:sz w:val="19"/>
                <w:szCs w:val="19"/>
              </w:rPr>
              <w:t xml:space="preserve"> — О применении ставок ввозных таможенных пошлин в отношении товаров, происходящих из Исламской Республики Иран и ввозимых на таможенную территорию Евразийского экономического союза, и о признании… (вступило в силу 15.05.2025)</w:t>
            </w:r>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Другие решения ЕЭК по коду</w:t>
            </w:r>
          </w:p>
        </w:tc>
        <w:tc>
          <w:tcPr>
            <w:tcW w:type="dxa" w:w="7604"/>
            <w:tcMar>
              <w:top w:type="dxa" w:w="80"/>
              <w:left w:type="dxa" w:w="120"/>
              <w:bottom w:type="dxa" w:w="80"/>
              <w:right w:type="dxa" w:w="120"/>
            </w:tcMar>
          </w:tcPr>
          <w:p>
            <w:pPr>
              <w:spacing w:after="60"/>
              <w:ind w:left="220" w:hanging="160"/>
            </w:pPr>
            <w:r>
              <w:rPr>
                <w:rFonts w:ascii="Arial" w:cs="Arial" w:eastAsia="Arial" w:hAnsi="Arial"/>
                <w:sz w:val="19"/>
                <w:szCs w:val="19"/>
              </w:rPr>
              <w:t xml:space="preserve">• </w:t>
            </w:r>
            <w:hyperlink w:history="1" r:id="rId_-0jkvlf-szyanygez8gq">
              <w:r>
                <w:rPr>
                  <w:rFonts w:ascii="Arial" w:cs="Arial" w:eastAsia="Arial" w:hAnsi="Arial"/>
                  <w:color w:val="1F5FBF"/>
                  <w:sz w:val="19"/>
                  <w:szCs w:val="19"/>
                  <w:u w:val="single"/>
                </w:rPr>
                <w:t xml:space="preserve">Решение Совета ЕЭК № 1 от 24.01.2025</w:t>
              </w:r>
            </w:hyperlink>
            <w:r>
              <w:rPr>
                <w:rFonts w:ascii="Arial" w:cs="Arial" w:eastAsia="Arial" w:hAnsi="Arial"/>
                <w:sz w:val="19"/>
                <w:szCs w:val="19"/>
              </w:rPr>
              <w:t xml:space="preserve"> — О внесении изменений в Решение Совета Евразийской экономической комиссии от 23 ноября 2020 г. № 105 (вступило в силу 03.02.2025)</w:t>
            </w:r>
          </w:p>
          <w:p>
            <w:pPr>
              <w:spacing w:after="60"/>
              <w:ind w:left="220" w:hanging="160"/>
            </w:pPr>
            <w:r>
              <w:rPr>
                <w:rFonts w:ascii="Arial" w:cs="Arial" w:eastAsia="Arial" w:hAnsi="Arial"/>
                <w:sz w:val="19"/>
                <w:szCs w:val="19"/>
              </w:rPr>
              <w:t xml:space="preserve">• </w:t>
            </w:r>
            <w:hyperlink w:history="1" r:id="rIddw8hvjowumt-bdovdts5u">
              <w:r>
                <w:rPr>
                  <w:rFonts w:ascii="Arial" w:cs="Arial" w:eastAsia="Arial" w:hAnsi="Arial"/>
                  <w:color w:val="1F5FBF"/>
                  <w:sz w:val="19"/>
                  <w:szCs w:val="19"/>
                  <w:u w:val="single"/>
                </w:rPr>
                <w:t xml:space="preserve">Решение Коллегии ЕЭК № 29 от 26.03.2024</w:t>
              </w:r>
            </w:hyperlink>
            <w:r>
              <w:rPr>
                <w:rFonts w:ascii="Arial" w:cs="Arial" w:eastAsia="Arial" w:hAnsi="Arial"/>
                <w:sz w:val="19"/>
                <w:szCs w:val="19"/>
              </w:rPr>
              <w:t xml:space="preserve"> — О перечне продукции, подлежащей обязательной оценке соответствия требованиям технического регламента Евразийского экономического союза «О безопасности продукции, предназначенной для гражданской… (вступило в силу 27.04.2024)</w:t>
            </w:r>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Переходные ключи ОКПД2</w:t>
            </w:r>
          </w:p>
        </w:tc>
        <w:tc>
          <w:tcPr>
            <w:tcW w:type="dxa" w:w="7604"/>
            <w:tcMar>
              <w:top w:type="dxa" w:w="80"/>
              <w:left w:type="dxa" w:w="120"/>
              <w:bottom w:type="dxa" w:w="80"/>
              <w:right w:type="dxa" w:w="120"/>
            </w:tcMar>
          </w:tcPr>
          <w:p>
            <w:pPr>
              <w:spacing w:after="60"/>
            </w:pPr>
            <w:r>
              <w:rPr>
                <w:rFonts w:ascii="Arial" w:cs="Arial" w:eastAsia="Arial" w:hAnsi="Arial"/>
                <w:sz w:val="19"/>
                <w:szCs w:val="19"/>
              </w:rPr>
              <w:t xml:space="preserve">Ключей для этого кода в таблице Минэкономразвития нет.</w:t>
            </w:r>
          </w:p>
        </w:tc>
      </w:tr>
    </w:tbl>
    <w:p>
      <w:pPr>
        <w:spacing w:after="60" w:before="240"/>
      </w:pPr>
    </w:p>
    <w:p>
      <w:pPr>
        <w:spacing w:after="60"/>
      </w:pPr>
      <w:r>
        <w:rPr>
          <w:rFonts w:ascii="Arial" w:cs="Arial" w:eastAsia="Arial" w:hAnsi="Arial"/>
          <w:color w:val="5B6472"/>
          <w:sz w:val="17"/>
          <w:szCs w:val="17"/>
        </w:rPr>
        <w:t xml:space="preserve">Справка собрана автоматически по официальным актам ЕАЭС и России. Меры, найденные по началу кода, помечены как касающиеся части товаров: применима ли мера к вашему товару, решают его характеристики и документы поставки. Справка не заменяет решение по классификации.</w:t>
      </w:r>
    </w:p>
    <w:p>
      <w:pPr>
        <w:spacing w:after="60"/>
      </w:pPr>
      <w:r>
        <w:rPr>
          <w:rFonts w:ascii="Arial" w:cs="Arial" w:eastAsia="Arial" w:hAnsi="Arial"/>
          <w:color w:val="5B6472"/>
          <w:sz w:val="17"/>
          <w:szCs w:val="17"/>
        </w:rPr>
        <w:t xml:space="preserve">Разъяснительные письма таможни и судебная практика в справку не входят. Проверку кода под ваш товар с обоснованием можно заказать на странице кода.</w:t>
      </w:r>
    </w:p>
    <w:p>
      <w:pPr>
        <w:jc w:val="left"/>
      </w:pPr>
      <w:r>
        <w:rPr>
          <w:rFonts w:ascii="Arial" w:cs="Arial" w:eastAsia="Arial" w:hAnsi="Arial"/>
          <w:color w:val="1F5FBF"/>
          <w:sz w:val="17"/>
          <w:szCs w:val="17"/>
        </w:rPr>
        <w:t xml:space="preserve">https://imexp.ru/katalog/kod/9031809800</w:t>
      </w:r>
    </w:p>
    <w:sectPr>
      <w:pgSz w:w="11906" w:h="16838" w:orient="portrait"/>
      <w:pgMar w:top="851" w:right="851" w:bottom="851" w:left="851"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kbfsmvslee-qgzqumwcw" Type="http://schemas.openxmlformats.org/officeDocument/2006/relationships/hyperlink" Target="https://imexp.ru/akty/reshenie-soveta-eek-80-2021" TargetMode="External"/><Relationship Id="rIdzvzouuhiwyantizwdufqk" Type="http://schemas.openxmlformats.org/officeDocument/2006/relationships/hyperlink" Target="https://imexp.ru/akty/reshenie-soveta-eek-80-2021" TargetMode="External"/><Relationship Id="rIdtmmzak5rdmssy_btfd8cn" Type="http://schemas.openxmlformats.org/officeDocument/2006/relationships/hyperlink" Target="https://imexp.ru/katalog/tehreglamenty/tr-ts-010-2011" TargetMode="External"/><Relationship Id="rIdsfizrwjx1qkiqudqxdbeo" Type="http://schemas.openxmlformats.org/officeDocument/2006/relationships/hyperlink" Target="https://imexp.ru/katalog/tehreglamenty/tr-ts-018-2011" TargetMode="External"/><Relationship Id="rId1oaf0p8wv2881di5omj2p" Type="http://schemas.openxmlformats.org/officeDocument/2006/relationships/hyperlink" Target="https://imexp.ru/katalog/tehreglamenty/tr-ts-032-2013" TargetMode="External"/><Relationship Id="rIdgblj0vjieesvsbfm1kwew" Type="http://schemas.openxmlformats.org/officeDocument/2006/relationships/hyperlink" Target="https://imexp.ru/katalog/tehreglamenty/tr-ts-031-2012" TargetMode="External"/><Relationship Id="rIdc0cq2wuq3t7thxl4d_uw0" Type="http://schemas.openxmlformats.org/officeDocument/2006/relationships/hyperlink" Target="https://imexp.ru/katalog/tehreglamenty/tr-eaes-050-2021" TargetMode="External"/><Relationship Id="rIdrjibhosggexsza3iwnsxn" Type="http://schemas.openxmlformats.org/officeDocument/2006/relationships/hyperlink" Target="https://imexp.ru/akty/postanovlenie-353-2022" TargetMode="External"/><Relationship Id="rIdpzvt3duv370txrodctwxf" Type="http://schemas.openxmlformats.org/officeDocument/2006/relationships/hyperlink" Target="https://imexp.ru/akty/prikaz-minpromtorga-4114-2024" TargetMode="External"/><Relationship Id="rIdx0pztdnrmv6euw4mlosm-" Type="http://schemas.openxmlformats.org/officeDocument/2006/relationships/hyperlink" Target="https://imexp.ru/akty/reshenie-kollegii-eek-154-2019" TargetMode="External"/><Relationship Id="rIdvdq3k-4zkqu8u2g51ruif" Type="http://schemas.openxmlformats.org/officeDocument/2006/relationships/hyperlink" Target="https://imexp.ru/akty/prikaz-minpromtorga-2701-2023" TargetMode="External"/><Relationship Id="rIdfc-fkyxlu0_g5mopeocee" Type="http://schemas.openxmlformats.org/officeDocument/2006/relationships/hyperlink" Target="https://imexp.ru/akty/reshenie-soveta-eek-107-2017" TargetMode="External"/><Relationship Id="rIddotiw1acju4oaj-j7tb5g" Type="http://schemas.openxmlformats.org/officeDocument/2006/relationships/hyperlink" Target="https://eur-lex.europa.eu/eli/reg/2014/833/oj/eng" TargetMode="External"/><Relationship Id="rId0-awxvrzc6vfm8szewu8u" Type="http://schemas.openxmlformats.org/officeDocument/2006/relationships/hyperlink" Target="https://www.legislation.gov.uk/uksi/2019/855/contents" TargetMode="External"/><Relationship Id="rIdngtixm3aget3il2shqf_d" Type="http://schemas.openxmlformats.org/officeDocument/2006/relationships/hyperlink" Target="https://www.ecfr.gov/current/title-15/subtitle-B/chapter-VII/subchapter-C/part-746" TargetMode="External"/><Relationship Id="rId9xrlf3bsuhwso5zkm5fth" Type="http://schemas.openxmlformats.org/officeDocument/2006/relationships/hyperlink" Target="https://imexp.ru/akty/prikaz-minpromtorga-2701-2023" TargetMode="External"/><Relationship Id="rIdw8949qv0tthylh1_lz4h5" Type="http://schemas.openxmlformats.org/officeDocument/2006/relationships/hyperlink" Target="https://imexp.ru/akty/reshenie-soveta-eek-80-2021" TargetMode="External"/><Relationship Id="rIdnfmojxujq5w3idcxspqtk" Type="http://schemas.openxmlformats.org/officeDocument/2006/relationships/hyperlink" Target="https://imexp.ru/akty/reshenie-soveta-eek-8-2017" TargetMode="External"/><Relationship Id="rIdtxyglspaolmvziw_uc_mh" Type="http://schemas.openxmlformats.org/officeDocument/2006/relationships/hyperlink" Target="https://imexp.ru/akty/postanovlenie-1637-2024" TargetMode="External"/><Relationship Id="rIdxm1qtnjtw9gthaw1_9fkt" Type="http://schemas.openxmlformats.org/officeDocument/2006/relationships/hyperlink" Target="https://imexp.ru/akty/rasporyazhenie-792-r-2018" TargetMode="External"/><Relationship Id="rIdudgwh7cqgaxy3o9soahj6" Type="http://schemas.openxmlformats.org/officeDocument/2006/relationships/hyperlink" Target="https://imexp.ru/katalog/tehreglamenty/tr-ts-010-2011" TargetMode="External"/><Relationship Id="rIdywoq3xh1ro59pr4cfcv2x" Type="http://schemas.openxmlformats.org/officeDocument/2006/relationships/hyperlink" Target="https://imexp.ru/katalog/tehreglamenty/tr-ts-018-2011" TargetMode="External"/><Relationship Id="rIdcyum1euw06lqgx9lazccd" Type="http://schemas.openxmlformats.org/officeDocument/2006/relationships/hyperlink" Target="https://imexp.ru/katalog/tehreglamenty/tr-ts-032-2013" TargetMode="External"/><Relationship Id="rIdot7c2puwekqexfvtat9h7" Type="http://schemas.openxmlformats.org/officeDocument/2006/relationships/hyperlink" Target="https://imexp.ru/katalog/tehreglamenty/tr-ts-031-2012" TargetMode="External"/><Relationship Id="rId9n31zodknlc8inilsezxc" Type="http://schemas.openxmlformats.org/officeDocument/2006/relationships/hyperlink" Target="https://imexp.ru/katalog/tehreglamenty/tr-eaes-050-2021" TargetMode="External"/><Relationship Id="rIdfdfi7y8ljp1fbgm2ktlyt" Type="http://schemas.openxmlformats.org/officeDocument/2006/relationships/hyperlink" Target="https://imexp.ru/katalog/tehreglamenty/tr-ts-020-2011" TargetMode="External"/><Relationship Id="rIdjys1tailjiaeayshwagrj" Type="http://schemas.openxmlformats.org/officeDocument/2006/relationships/hyperlink" Target="https://imexp.ru/katalog/tehreglamenty/tr-ts-004-2011" TargetMode="External"/><Relationship Id="rIdjlzvf1f3k7ksbvi0jd6kq" Type="http://schemas.openxmlformats.org/officeDocument/2006/relationships/hyperlink" Target="https://imexp.ru/katalog/tehreglamenty/tr-ts-018-2011" TargetMode="External"/><Relationship Id="rIdsv8sqsy44_7wql0qekpld" Type="http://schemas.openxmlformats.org/officeDocument/2006/relationships/hyperlink" Target="https://imexp.ru/akty/reshenie-kollegii-eek-154-2019" TargetMode="External"/><Relationship Id="rIdvx8dfiq-gp1e1akivptvo" Type="http://schemas.openxmlformats.org/officeDocument/2006/relationships/hyperlink" Target="https://imexp.ru/akty/reshenie-soveta-eek-157-2016" TargetMode="External"/><Relationship Id="rIdmbwrwuui4yhmsqsg6vlrg" Type="http://schemas.openxmlformats.org/officeDocument/2006/relationships/hyperlink" Target="https://imexp.ru/akty/postanovlenie-1299-2022" TargetMode="External"/><Relationship Id="rIdmbmeqxwqfgfmx1apsb7zu" Type="http://schemas.openxmlformats.org/officeDocument/2006/relationships/hyperlink" Target="https://imexp.ru/akty/postanovlenie-1299-2022" TargetMode="External"/><Relationship Id="rIdapnieyy9vy5ahuogpsmp4" Type="http://schemas.openxmlformats.org/officeDocument/2006/relationships/hyperlink" Target="https://imexp.ru/akty/postanovlenie-1299-2022" TargetMode="External"/><Relationship Id="rIddhapdltyg6sjhsqu8_hpi" Type="http://schemas.openxmlformats.org/officeDocument/2006/relationships/hyperlink" Target="https://imexp.ru/akty/postanovlenie-1299-2022" TargetMode="External"/><Relationship Id="rIdjaz2ue7sbospnrydawpq0" Type="http://schemas.openxmlformats.org/officeDocument/2006/relationships/hyperlink" Target="https://imexp.ru/akty/postanovlenie-1299-2022" TargetMode="External"/><Relationship Id="rIdl-hclmqk5l12xqbqxydoa" Type="http://schemas.openxmlformats.org/officeDocument/2006/relationships/hyperlink" Target="https://imexp.ru/akty/postanovlenie-1299-2022" TargetMode="External"/><Relationship Id="rIdqgiuemj3suekglf-pvstb" Type="http://schemas.openxmlformats.org/officeDocument/2006/relationships/hyperlink" Target="https://imexp.ru/akty/postanovlenie-1288-2022" TargetMode="External"/><Relationship Id="rIdokwcjb92pl9glma-4y_qw" Type="http://schemas.openxmlformats.org/officeDocument/2006/relationships/hyperlink" Target="https://imexp.ru/akty/postanovlenie-1286-2022" TargetMode="External"/><Relationship Id="rIdip3k1vmpvbsjgnhqkzyvx" Type="http://schemas.openxmlformats.org/officeDocument/2006/relationships/hyperlink" Target="https://imexp.ru/akty/federalnyy-zakon-183-fz-1999" TargetMode="External"/><Relationship Id="rIdsqfd5dt40svnj1wopf9zv" Type="http://schemas.openxmlformats.org/officeDocument/2006/relationships/hyperlink" Target="https://imexp.ru/akty/reshenie-kollegii-eek-45-2018" TargetMode="External"/><Relationship Id="rIdxdjj8scokyoitrmbe-nkv" Type="http://schemas.openxmlformats.org/officeDocument/2006/relationships/hyperlink" Target="https://imexp.ru/katalog/tehreglamenty/tr-ts-010-2011" TargetMode="External"/><Relationship Id="rIdbmf3acqzr9jbb3yegfv-k" Type="http://schemas.openxmlformats.org/officeDocument/2006/relationships/hyperlink" Target="https://imexp.ru/katalog/tehreglamenty/tr-ts-018-2011" TargetMode="External"/><Relationship Id="rIdqt0pas29i8pcj-di0kwkp" Type="http://schemas.openxmlformats.org/officeDocument/2006/relationships/hyperlink" Target="https://imexp.ru/katalog/tehreglamenty/tr-ts-032-2013" TargetMode="External"/><Relationship Id="rIdfikhgc2rcf5_mcrvpoqy9" Type="http://schemas.openxmlformats.org/officeDocument/2006/relationships/hyperlink" Target="https://imexp.ru/katalog/tehreglamenty/tr-ts-031-2012" TargetMode="External"/><Relationship Id="rIdbz7cfd1nfzqhyhw0rti70" Type="http://schemas.openxmlformats.org/officeDocument/2006/relationships/hyperlink" Target="https://imexp.ru/katalog/tehreglamenty/tr-eaes-050-2021" TargetMode="External"/><Relationship Id="rId6_o6m95c0s1gf2sbpipyg" Type="http://schemas.openxmlformats.org/officeDocument/2006/relationships/hyperlink" Target="https://imexp.ru/katalog/tehreglamenty/tr-ts-018-2011" TargetMode="External"/><Relationship Id="rIduopgnrktudzui_t2poenn" Type="http://schemas.openxmlformats.org/officeDocument/2006/relationships/hyperlink" Target="https://imexp.ru/katalog/tehreglamenty/tr-ts-032-2013" TargetMode="External"/><Relationship Id="rIdeypflxl-ndrqhsfkyexc_" Type="http://schemas.openxmlformats.org/officeDocument/2006/relationships/hyperlink" Target="https://imexp.ru/akty/reshenie-kts-257-2010" TargetMode="External"/><Relationship Id="rIdypjakyazc29qf_9xduxov" Type="http://schemas.openxmlformats.org/officeDocument/2006/relationships/hyperlink" Target="https://imexp.ru/akty/reshenie-kts-378-2010" TargetMode="External"/><Relationship Id="rIddgi1boztdlgh7gesmjrna" Type="http://schemas.openxmlformats.org/officeDocument/2006/relationships/hyperlink" Target="https://docs.eaeunion.org/documents/446/9811/" TargetMode="External"/><Relationship Id="rId_-0jkvlf-szyanygez8gq" Type="http://schemas.openxmlformats.org/officeDocument/2006/relationships/hyperlink" Target="https://docs.eaeunion.org/documents/447/9823/" TargetMode="External"/><Relationship Id="rIddw8hvjowumt-bdovdts5u" Type="http://schemas.openxmlformats.org/officeDocument/2006/relationships/hyperlink" Target="https://docs.eaeunion.org/documents/429/8014/" TargetMode="External"/><Relationship Id="rId5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Справка о товаре 9031 80 980 0</dc:title>
  <dc:creator>IMEXP</dc:creator>
  <cp:lastModifiedBy>Un-named</cp:lastModifiedBy>
  <cp:revision>1</cp:revision>
  <dcterms:created xsi:type="dcterms:W3CDTF">2026-11-08T22:40:30.811Z</dcterms:created>
  <dcterms:modified xsi:type="dcterms:W3CDTF">2026-11-08T22:40:30.811Z</dcterms:modified>
</cp:coreProperties>
</file>

<file path=docProps/custom.xml><?xml version="1.0" encoding="utf-8"?>
<Properties xmlns="http://schemas.openxmlformats.org/officeDocument/2006/custom-properties" xmlns:vt="http://schemas.openxmlformats.org/officeDocument/2006/docPropsVTypes"/>
</file>