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9032 89 000 0</w:t>
      </w:r>
    </w:p>
    <w:p>
      <w:pPr>
        <w:spacing w:after="200"/>
      </w:pPr>
      <w:r>
        <w:rPr>
          <w:rFonts w:ascii="Arial" w:cs="Arial" w:eastAsia="Arial" w:hAnsi="Arial"/>
          <w:color w:val="5B6472"/>
          <w:sz w:val="19"/>
          <w:szCs w:val="19"/>
        </w:rPr>
        <w:t xml:space="preserve">Сведения на 07.11.2026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9032 — Приборы и устройства для автоматического регулирования или управления</w:t>
            </w:r>
          </w:p>
          <w:p>
            <w:pPr>
              <w:spacing w:after="60"/>
            </w:pPr>
            <w:r>
              <w:rPr>
                <w:rFonts w:ascii="Arial" w:cs="Arial" w:eastAsia="Arial" w:hAnsi="Arial"/>
                <w:color w:val="5B6472"/>
                <w:sz w:val="17"/>
                <w:szCs w:val="17"/>
              </w:rPr>
              <w:t xml:space="preserve">9032 89 — Приборы и устройства прочие: прочие</w:t>
            </w:r>
          </w:p>
          <w:p>
            <w:pPr>
              <w:spacing w:after="60"/>
            </w:pPr>
            <w:r>
              <w:rPr>
                <w:rFonts w:ascii="Arial" w:cs="Arial" w:eastAsia="Arial" w:hAnsi="Arial"/>
                <w:color w:val="5B6472"/>
                <w:sz w:val="17"/>
                <w:szCs w:val="17"/>
              </w:rPr>
              <w:t xml:space="preserve">9032 89 00 — Приборы и устройства прочие: прочие</w:t>
            </w:r>
          </w:p>
          <w:p>
            <w:pPr>
              <w:spacing w:after="60"/>
            </w:pPr>
            <w:r>
              <w:rPr>
                <w:rFonts w:ascii="Arial" w:cs="Arial" w:eastAsia="Arial" w:hAnsi="Arial"/>
                <w:b/>
                <w:bCs/>
                <w:sz w:val="19"/>
                <w:szCs w:val="19"/>
              </w:rPr>
              <w:t xml:space="preserve">9032 89 000 0 — Приборы и устройства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up059quz2h5aofwnquqe">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tidbxrjvtqdoame0eir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lm6poxqbwd8wnn6dqszrb">
              <w:r>
                <w:rPr>
                  <w:rFonts w:ascii="Arial" w:cs="Arial" w:eastAsia="Arial" w:hAnsi="Arial"/>
                  <w:color w:val="1F5FBF"/>
                  <w:sz w:val="19"/>
                  <w:szCs w:val="19"/>
                  <w:u w:val="single"/>
                </w:rPr>
                <w:t xml:space="preserve">ТР ТС 016/2011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dncz_bh1hs-5jvtsrjage">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Сертификат соответствия — </w:t>
            </w:r>
            <w:hyperlink w:history="1" r:id="rIdrdmq1w4ytkitp416nfmli">
              <w:r>
                <w:rPr>
                  <w:rFonts w:ascii="Arial" w:cs="Arial" w:eastAsia="Arial" w:hAnsi="Arial"/>
                  <w:color w:val="1F5FBF"/>
                  <w:sz w:val="19"/>
                  <w:szCs w:val="19"/>
                  <w:u w:val="single"/>
                </w:rPr>
                <w:t xml:space="preserve">ТР ТС 004/2011</w:t>
              </w:r>
            </w:hyperlink>
          </w:p>
          <w:p>
            <w:pPr>
              <w:spacing w:after="60"/>
              <w:ind w:left="220" w:hanging="160"/>
            </w:pPr>
            <w:r>
              <w:rPr>
                <w:rFonts w:ascii="Arial" w:cs="Arial" w:eastAsia="Arial" w:hAnsi="Arial"/>
                <w:sz w:val="19"/>
                <w:szCs w:val="19"/>
              </w:rPr>
              <w:t xml:space="preserve">• Сертификат соответствия или Декларация о соответствии — </w:t>
            </w:r>
            <w:hyperlink w:history="1" r:id="rIdcdzv0yyfy6-7gxdxi2lcw">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Сертификат соответствия — </w:t>
            </w:r>
            <w:hyperlink w:history="1" r:id="rIde34hdpouo6zfj8utpc2xo">
              <w:r>
                <w:rPr>
                  <w:rFonts w:ascii="Arial" w:cs="Arial" w:eastAsia="Arial" w:hAnsi="Arial"/>
                  <w:color w:val="1F5FBF"/>
                  <w:sz w:val="19"/>
                  <w:szCs w:val="19"/>
                  <w:u w:val="single"/>
                </w:rPr>
                <w:t xml:space="preserve">ТР ТС 031/2012</w:t>
              </w:r>
            </w:hyperlink>
          </w:p>
          <w:p>
            <w:pPr>
              <w:spacing w:after="60"/>
              <w:ind w:left="220" w:hanging="160"/>
            </w:pPr>
            <w:r>
              <w:rPr>
                <w:rFonts w:ascii="Arial" w:cs="Arial" w:eastAsia="Arial" w:hAnsi="Arial"/>
                <w:sz w:val="19"/>
                <w:szCs w:val="19"/>
              </w:rPr>
              <w:t xml:space="preserve">• Сертификат соответствия — </w:t>
            </w:r>
            <w:hyperlink w:history="1" r:id="rIdp0quyht7v2qdudu6ic-hb">
              <w:r>
                <w:rPr>
                  <w:rFonts w:ascii="Arial" w:cs="Arial" w:eastAsia="Arial" w:hAnsi="Arial"/>
                  <w:color w:val="1F5FBF"/>
                  <w:sz w:val="19"/>
                  <w:szCs w:val="19"/>
                  <w:u w:val="single"/>
                </w:rPr>
                <w:t xml:space="preserve">ТР ЕАЭС 050/2021</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03c68qoofaetvfpzexao4">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b00ti_shbfrfkc6hby5kd">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lhznxu2wmf3xkc7iqjzrm">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n7jpzh66jl7-s6o8q_tpg">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434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kzagejz_gvkeyrgz6j3so">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i6znzf5_g2elcarhyp-gp">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wwrlkieelwsuinqdpztd5">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wnu7uqi9nic0hm5rj9zuq">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434 (9032): ADVITAM, ALBRIGHT, AI-Tek Instruments, ASTON MARTIN, BALTECH, BENTLY NEVADA, BOMAG, BOSCH, BR BRAUN, Bruel &amp; Kjaer, BUGATTI, DAF TRUCKS, DAIMLER, DANFOSS, dp PRÜFTECHNIK, DELTA ELECTRONICS, DIGIDUCER, DRUCK, DUNGS (ДУНГС), Electrolux, EMERSON, EPRO, FLUKE,…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dknrzafihq8bbi9agqzwy">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jyl1zj93l14jqavn_ddty">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jiwo1r_2nxcylvleel1n8">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yhu1kof5gzpe5zsx3dtkv">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4ylp1s1i_4rbetvjs7irh">
              <w:r>
                <w:rPr>
                  <w:rFonts w:ascii="Arial" w:cs="Arial" w:eastAsia="Arial" w:hAnsi="Arial"/>
                  <w:b/>
                  <w:bCs/>
                  <w:color w:val="1F5FBF"/>
                  <w:sz w:val="19"/>
                  <w:szCs w:val="19"/>
                  <w:u w:val="single"/>
                </w:rPr>
                <w:t xml:space="preserve">ТР ТС 016/2011</w:t>
              </w:r>
            </w:hyperlink>
            <w:r>
              <w:rPr>
                <w:rFonts w:ascii="Arial" w:cs="Arial" w:eastAsia="Arial" w:hAnsi="Arial"/>
                <w:b/>
                <w:bCs/>
                <w:sz w:val="19"/>
                <w:szCs w:val="19"/>
              </w:rPr>
              <w:t xml:space="preserve"> «О безопасности аппаратов, работающих на газообразном топливе»</w:t>
            </w:r>
          </w:p>
          <w:p>
            <w:pPr>
              <w:spacing w:after="60"/>
              <w:ind w:left="220" w:hanging="160"/>
            </w:pPr>
            <w:r>
              <w:rPr>
                <w:rFonts w:ascii="Arial" w:cs="Arial" w:eastAsia="Arial" w:hAnsi="Arial"/>
                <w:sz w:val="19"/>
                <w:szCs w:val="19"/>
              </w:rPr>
              <w:t xml:space="preserve">• декларация о соответствии: Приборы и средства автоматизации для газовых горелок и аппаратов (блоки и панели для автоматического розжига) (касается части товаров кода)</w:t>
            </w:r>
          </w:p>
          <w:p>
            <w:pPr>
              <w:spacing w:after="60"/>
            </w:pPr>
            <w:hyperlink w:history="1" r:id="rIdwy2z0tfen-ntml4pso7bp">
              <w:r>
                <w:rPr>
                  <w:rFonts w:ascii="Arial" w:cs="Arial" w:eastAsia="Arial" w:hAnsi="Arial"/>
                  <w:b/>
                  <w:bCs/>
                  <w:color w:val="1F5FBF"/>
                  <w:sz w:val="19"/>
                  <w:szCs w:val="19"/>
                  <w:u w:val="single"/>
                </w:rPr>
                <w:t xml:space="preserve">ТР ТС 032/2013</w:t>
              </w:r>
            </w:hyperlink>
            <w:r>
              <w:rPr>
                <w:rFonts w:ascii="Arial" w:cs="Arial" w:eastAsia="Arial" w:hAnsi="Arial"/>
                <w:b/>
                <w:bCs/>
                <w:sz w:val="19"/>
                <w:szCs w:val="19"/>
              </w:rPr>
              <w:t xml:space="preserve"> «О безопасности оборудования, работающего под избыточным давлением»</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Устройства и приборы безопасности (предназначенные для применения в составе указанного в пунктах 1 – 9 и 13 настоящего перечня оборудования, работающего под избыточным давлением)</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Электрооборудование рудничное нормальное (касается части товаров кода)</w:t>
            </w:r>
          </w:p>
          <w:p>
            <w:pPr>
              <w:spacing w:after="60"/>
            </w:pPr>
            <w:hyperlink w:history="1" r:id="rIdlsddkw5mtqh-y4gasha94">
              <w:r>
                <w:rPr>
                  <w:rFonts w:ascii="Arial" w:cs="Arial" w:eastAsia="Arial" w:hAnsi="Arial"/>
                  <w:b/>
                  <w:bCs/>
                  <w:color w:val="1F5FBF"/>
                  <w:sz w:val="19"/>
                  <w:szCs w:val="19"/>
                  <w:u w:val="single"/>
                </w:rPr>
                <w:t xml:space="preserve">ТР ТС 004/2011</w:t>
              </w:r>
            </w:hyperlink>
            <w:r>
              <w:rPr>
                <w:rFonts w:ascii="Arial" w:cs="Arial" w:eastAsia="Arial" w:hAnsi="Arial"/>
                <w:b/>
                <w:bCs/>
                <w:sz w:val="19"/>
                <w:szCs w:val="19"/>
              </w:rPr>
              <w:t xml:space="preserve"> «О безопасности низковольтного оборудования»</w:t>
            </w:r>
          </w:p>
          <w:p>
            <w:pPr>
              <w:spacing w:after="60"/>
              <w:ind w:left="220" w:hanging="160"/>
            </w:pPr>
            <w:r>
              <w:rPr>
                <w:rFonts w:ascii="Arial" w:cs="Arial" w:eastAsia="Arial" w:hAnsi="Arial"/>
                <w:sz w:val="19"/>
                <w:szCs w:val="19"/>
              </w:rPr>
              <w:t xml:space="preserve">• сертификат соответствия: автоматические устройства управления бытовым электрооборудованием</w:t>
            </w:r>
          </w:p>
          <w:p>
            <w:pPr>
              <w:spacing w:after="60"/>
            </w:pPr>
            <w:hyperlink w:history="1" r:id="rIdz5mhb5jkqjtdcwbvcpiul">
              <w:r>
                <w:rPr>
                  <w:rFonts w:ascii="Arial" w:cs="Arial" w:eastAsia="Arial" w:hAnsi="Arial"/>
                  <w:b/>
                  <w:bCs/>
                  <w:color w:val="1F5FBF"/>
                  <w:sz w:val="19"/>
                  <w:szCs w:val="19"/>
                  <w:u w:val="single"/>
                </w:rPr>
                <w:t xml:space="preserve">ТР ТС 018/2011</w:t>
              </w:r>
            </w:hyperlink>
            <w:r>
              <w:rPr>
                <w:rFonts w:ascii="Arial" w:cs="Arial" w:eastAsia="Arial" w:hAnsi="Arial"/>
                <w:b/>
                <w:bCs/>
                <w:sz w:val="19"/>
                <w:szCs w:val="19"/>
              </w:rPr>
              <w:t xml:space="preserve"> «О безопасности колесных транспортных средств»</w:t>
            </w:r>
          </w:p>
          <w:p>
            <w:pPr>
              <w:spacing w:after="60"/>
              <w:ind w:left="220" w:hanging="160"/>
            </w:pPr>
            <w:r>
              <w:rPr>
                <w:rFonts w:ascii="Arial" w:cs="Arial" w:eastAsia="Arial" w:hAnsi="Arial"/>
                <w:sz w:val="19"/>
                <w:szCs w:val="19"/>
              </w:rPr>
              <w:t xml:space="preserve">• сертификат соответствия: Оборудование для питания двигателя газообразным топливом (компримированным природным газом - КПГ, сжиженным нефтяным газом - СНГ (или сжиженным углеводородным газом - СУГ), сжиженным природным газом - СПГ, диметиловым эфиром топливным - ДМЭт): баллон газовый; вспомогательное оборудование баллона;…</w:t>
            </w:r>
          </w:p>
          <w:p>
            <w:pPr>
              <w:spacing w:after="60"/>
              <w:ind w:left="220" w:hanging="160"/>
            </w:pPr>
            <w:r>
              <w:rPr>
                <w:rFonts w:ascii="Arial" w:cs="Arial" w:eastAsia="Arial" w:hAnsi="Arial"/>
                <w:sz w:val="19"/>
                <w:szCs w:val="19"/>
              </w:rPr>
              <w:t xml:space="preserve">• сертификат соответствия: Аппараты гидравлического тормозного привода: цилиндры главные тормозные; скобы дисковых тормозных механизмов; колесные тормозные цилиндры барабанных тормозных механизмов; регуляторы тормозных сил; вакуумные, гидравлические (в сборе с главными тормозными цилиндрами), гидровакуумные и…</w:t>
            </w:r>
          </w:p>
          <w:p>
            <w:pPr>
              <w:spacing w:after="60"/>
              <w:ind w:left="220" w:hanging="160"/>
            </w:pPr>
            <w:r>
              <w:rPr>
                <w:rFonts w:ascii="Arial" w:cs="Arial" w:eastAsia="Arial" w:hAnsi="Arial"/>
                <w:sz w:val="19"/>
                <w:szCs w:val="19"/>
              </w:rPr>
              <w:t xml:space="preserve">• сертификат соответствия: Аппараты пневматического тормозного привода: агрегаты подготовки воздуха (противозамерзатели, влагоотделители, регуляторы давления); защитная аппаратура пневмопривода; клапаны слива конденсата; управляющие аппараты (краны тормозные, ускорительные клапаны, клапаны управления тормозами прицепа,…</w:t>
            </w:r>
          </w:p>
          <w:p>
            <w:pPr>
              <w:spacing w:after="60"/>
              <w:ind w:left="220" w:hanging="160"/>
            </w:pPr>
            <w:r>
              <w:rPr>
                <w:rFonts w:ascii="Arial" w:cs="Arial" w:eastAsia="Arial" w:hAnsi="Arial"/>
                <w:sz w:val="19"/>
                <w:szCs w:val="19"/>
              </w:rPr>
              <w:t xml:space="preserve">• сертификат соответствия: Узлы и детали рулевого управления автомобилей: рулевые колеса; рулевые механизмы; рулевые усилители; гидронасосы; распределители и силовые цилиндры рулевых усилителей; колонки рулевого управления; угловые редукторы; рулевые валы; рулевые тяги; промежуточные опоры рулевого привода и рычаги; шкворни…</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Указатели и датчики аварийных состояний</w:t>
            </w:r>
          </w:p>
          <w:p>
            <w:pPr>
              <w:spacing w:after="60"/>
              <w:ind w:left="220" w:hanging="160"/>
            </w:pPr>
            <w:r>
              <w:rPr>
                <w:rFonts w:ascii="Arial" w:cs="Arial" w:eastAsia="Arial" w:hAnsi="Arial"/>
                <w:sz w:val="19"/>
                <w:szCs w:val="19"/>
              </w:rPr>
              <w:t xml:space="preserve">• сертификат соответствия: Системы впрыска топлива двигателей с принудительным зажиганием и их сменные элементы</w:t>
            </w:r>
          </w:p>
          <w:p>
            <w:pPr>
              <w:spacing w:after="60"/>
              <w:ind w:left="220" w:hanging="160"/>
            </w:pPr>
            <w:r>
              <w:rPr>
                <w:rFonts w:ascii="Arial" w:cs="Arial" w:eastAsia="Arial" w:hAnsi="Arial"/>
                <w:sz w:val="19"/>
                <w:szCs w:val="19"/>
              </w:rPr>
              <w:t xml:space="preserve">• сертификат соответствия: Изделия системы зажигания для двигателей с принудительным зажиганием (распределители, датчики-распределители, катушки зажигания, модули зажигания, электронные коммутаторы, контроллеры, датчики, прерыватели)</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Воздушно-жидкостные отопители, интегральные охладители и отопители-охладители</w:t>
            </w:r>
          </w:p>
          <w:p>
            <w:pPr>
              <w:spacing w:after="60"/>
            </w:pPr>
            <w:hyperlink w:history="1" r:id="rIdc5nvwrsrxyyyfmjamwlx5">
              <w:r>
                <w:rPr>
                  <w:rFonts w:ascii="Arial" w:cs="Arial" w:eastAsia="Arial" w:hAnsi="Arial"/>
                  <w:b/>
                  <w:bCs/>
                  <w:color w:val="1F5FBF"/>
                  <w:sz w:val="19"/>
                  <w:szCs w:val="19"/>
                  <w:u w:val="single"/>
                </w:rPr>
                <w:t xml:space="preserve">ТР ТС 031/2012</w:t>
              </w:r>
            </w:hyperlink>
            <w:r>
              <w:rPr>
                <w:rFonts w:ascii="Arial" w:cs="Arial" w:eastAsia="Arial" w:hAnsi="Arial"/>
                <w:b/>
                <w:bCs/>
                <w:sz w:val="19"/>
                <w:szCs w:val="19"/>
              </w:rPr>
              <w:t xml:space="preserve"> «О безопасности сельскохозяйственных и лесохозяйственных тракторов и прицепов к ним»</w:t>
            </w:r>
          </w:p>
          <w:p>
            <w:pPr>
              <w:spacing w:after="60"/>
              <w:ind w:left="220" w:hanging="160"/>
            </w:pPr>
            <w:r>
              <w:rPr>
                <w:rFonts w:ascii="Arial" w:cs="Arial" w:eastAsia="Arial" w:hAnsi="Arial"/>
                <w:sz w:val="19"/>
                <w:szCs w:val="19"/>
              </w:rPr>
              <w:t xml:space="preserve">• сертификат соответствия: указатель уровня</w:t>
            </w:r>
          </w:p>
          <w:p>
            <w:pPr>
              <w:spacing w:after="60"/>
              <w:ind w:left="220" w:hanging="160"/>
            </w:pPr>
            <w:r>
              <w:rPr>
                <w:rFonts w:ascii="Arial" w:cs="Arial" w:eastAsia="Arial" w:hAnsi="Arial"/>
                <w:sz w:val="19"/>
                <w:szCs w:val="19"/>
              </w:rPr>
              <w:t xml:space="preserve">• сертификат соответствия: газовый дозатор</w:t>
            </w:r>
          </w:p>
          <w:p>
            <w:pPr>
              <w:spacing w:after="60"/>
              <w:ind w:left="220" w:hanging="160"/>
            </w:pPr>
            <w:r>
              <w:rPr>
                <w:rFonts w:ascii="Arial" w:cs="Arial" w:eastAsia="Arial" w:hAnsi="Arial"/>
                <w:sz w:val="19"/>
                <w:szCs w:val="19"/>
              </w:rPr>
              <w:t xml:space="preserve">• сертификат соответствия: датчик давления и температуры</w:t>
            </w:r>
          </w:p>
          <w:p>
            <w:pPr>
              <w:spacing w:after="60"/>
            </w:pPr>
            <w:hyperlink w:history="1" r:id="rIdvfzvdbepyendcgycsoi2_">
              <w:r>
                <w:rPr>
                  <w:rFonts w:ascii="Arial" w:cs="Arial" w:eastAsia="Arial" w:hAnsi="Arial"/>
                  <w:b/>
                  <w:bCs/>
                  <w:color w:val="1F5FBF"/>
                  <w:sz w:val="19"/>
                  <w:szCs w:val="19"/>
                  <w:u w:val="single"/>
                </w:rPr>
                <w:t xml:space="preserve">ТР ЕАЭС 050/2021</w:t>
              </w:r>
            </w:hyperlink>
            <w:r>
              <w:rPr>
                <w:rFonts w:ascii="Arial" w:cs="Arial" w:eastAsia="Arial" w:hAnsi="Arial"/>
                <w:b/>
                <w:bCs/>
                <w:sz w:val="19"/>
                <w:szCs w:val="19"/>
              </w:rPr>
              <w:t xml:space="preserve"> «О безопасности продукции, предназначенной для гражданской обороны и защиты от чрезвычайных ситуаций природного и техногенного характера»</w:t>
            </w:r>
          </w:p>
          <w:p>
            <w:pPr>
              <w:spacing w:after="60"/>
              <w:ind w:left="220" w:hanging="160"/>
            </w:pPr>
            <w:r>
              <w:rPr>
                <w:rFonts w:ascii="Arial" w:cs="Arial" w:eastAsia="Arial" w:hAnsi="Arial"/>
                <w:sz w:val="19"/>
                <w:szCs w:val="19"/>
              </w:rPr>
              <w:t xml:space="preserve">• сертификат соответствия: Датчики и измерительные средства контроля изменения состояния параметров окружающей среды или отдельных ее компонентов</w:t>
            </w:r>
          </w:p>
          <w:p>
            <w:pPr>
              <w:spacing w:after="60"/>
            </w:pPr>
            <w:r>
              <w:rPr>
                <w:rFonts w:ascii="Arial" w:cs="Arial" w:eastAsia="Arial" w:hAnsi="Arial"/>
                <w:color w:val="5B6472"/>
                <w:sz w:val="17"/>
                <w:szCs w:val="17"/>
              </w:rPr>
              <w:t xml:space="preserve">На практике по субпозиции 9032 89 действует сертификатов: 1558, деклараций: 3597; чаще по </w:t>
            </w:r>
            <w:hyperlink w:history="1" r:id="rIds-nea5ouj72twzhlqom7-">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459xf7dam_as8dbcumz-0">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v-trw8uyj90pc1ndjvuub">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4djapqsa3w40df4q9-t88">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jtso7euvrcqbtz6v60qer">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gjdvry2esb8-pb5hwhll8">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6.1.4.4.1: Оборудование, специально разработанное для поддержания профиля поверхности или ориентации оптических компонентов, пригодных для применения в космосе и определенных в пункте 6.1.4.3.1 или 6.1.4.3.3;</w:t>
            </w:r>
          </w:p>
          <w:p>
            <w:pPr>
              <w:spacing w:after="60"/>
              <w:ind w:left="220" w:hanging="160"/>
            </w:pPr>
            <w:r>
              <w:rPr>
                <w:rFonts w:ascii="Arial" w:cs="Arial" w:eastAsia="Arial" w:hAnsi="Arial"/>
                <w:sz w:val="19"/>
                <w:szCs w:val="19"/>
              </w:rPr>
              <w:t xml:space="preserve">• </w:t>
            </w:r>
            <w:hyperlink w:history="1" r:id="rIdm4gjtudaqdgvd7dgvvxom">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6.1.4.4.2: Оборудование управления, слежения, стабилизации или юстировки резонатора: а) платформы зеркал для управления лучом (коррекции наклонов), разработанные для установки зеркал диаметром или с длиной главной оси более 50 мм и имеющие все следующие характеристики, а также специально разработанное для них…</w:t>
            </w:r>
          </w:p>
          <w:p>
            <w:pPr>
              <w:spacing w:after="60"/>
              <w:ind w:left="220" w:hanging="160"/>
            </w:pPr>
            <w:r>
              <w:rPr>
                <w:rFonts w:ascii="Arial" w:cs="Arial" w:eastAsia="Arial" w:hAnsi="Arial"/>
                <w:sz w:val="19"/>
                <w:szCs w:val="19"/>
              </w:rPr>
              <w:t xml:space="preserve">• </w:t>
            </w:r>
            <w:hyperlink w:history="1" r:id="rIds5oau4knwa1eymeiawdan">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6.1.4.4.3: Кардановы подвесы, имеющие все следующие характеристики:</w:t>
            </w:r>
          </w:p>
          <w:p>
            <w:pPr>
              <w:spacing w:after="60"/>
              <w:ind w:left="220" w:hanging="160"/>
            </w:pPr>
            <w:r>
              <w:rPr>
                <w:rFonts w:ascii="Arial" w:cs="Arial" w:eastAsia="Arial" w:hAnsi="Arial"/>
                <w:sz w:val="19"/>
                <w:szCs w:val="19"/>
              </w:rPr>
              <w:t xml:space="preserve">• </w:t>
            </w:r>
            <w:hyperlink w:history="1" r:id="rIdj8mlxoqbfx79jdbmyuxeh">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7.1.1.1: Линейные акселерометры, имеющие любую из следующих характеристик:</w:t>
            </w:r>
          </w:p>
          <w:p>
            <w:pPr>
              <w:spacing w:after="60"/>
              <w:ind w:left="220" w:hanging="160"/>
            </w:pPr>
            <w:r>
              <w:rPr>
                <w:rFonts w:ascii="Arial" w:cs="Arial" w:eastAsia="Arial" w:hAnsi="Arial"/>
                <w:sz w:val="19"/>
                <w:szCs w:val="19"/>
              </w:rPr>
              <w:t xml:space="preserve">• </w:t>
            </w:r>
            <w:hyperlink w:history="1" r:id="rId3vskvhxocmw1hbznr7uut">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7.1.1.2: Угловые или вращающиеся акселерометры, определенные (по паспорту) для работы при значениях линейных ускорений, превышающих 100 g</w:t>
            </w:r>
          </w:p>
          <w:p>
            <w:pPr>
              <w:spacing w:after="60"/>
            </w:pPr>
            <w:r>
              <w:rPr>
                <w:rFonts w:ascii="Arial" w:cs="Arial" w:eastAsia="Arial" w:hAnsi="Arial"/>
                <w:color w:val="5B6472"/>
                <w:sz w:val="17"/>
                <w:szCs w:val="17"/>
              </w:rPr>
              <w:t xml:space="preserve">Ещё пунктов: 10, все — на странице кода.</w:t>
            </w:r>
          </w:p>
          <w:p>
            <w:pPr>
              <w:spacing w:after="60"/>
            </w:pPr>
            <w:hyperlink w:history="1" r:id="rIdc4omuqv3pbb3_3qznrtgu">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w:t>
            </w:r>
            <w:hyperlink w:history="1" r:id="rIdl4jgiepebbxrkdgqafksk">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вывоз — по лицензии или разрешению (</w:t>
            </w:r>
            <w:hyperlink w:history="1" r:id="rIdas2tplmh0y5btgafbhr1x">
              <w:r>
                <w:rPr>
                  <w:rFonts w:ascii="Arial" w:cs="Arial" w:eastAsia="Arial" w:hAnsi="Arial"/>
                  <w:color w:val="1F5FBF"/>
                  <w:sz w:val="17"/>
                  <w:szCs w:val="17"/>
                  <w:u w:val="single"/>
                </w:rPr>
                <w:t xml:space="preserve">Федеральный закон от 18.07.1999 № 183-ФЗ</w:t>
              </w:r>
            </w:hyperlink>
            <w:r>
              <w:rPr>
                <w:rFonts w:ascii="Arial" w:cs="Arial" w:eastAsia="Arial" w:hAnsi="Arial"/>
                <w:color w:val="5B6472"/>
                <w:sz w:val="17"/>
                <w:szCs w:val="17"/>
              </w:rPr>
              <w:t xml:space="preserve">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(42):</w:t>
            </w:r>
          </w:p>
          <w:p>
            <w:pPr>
              <w:spacing w:after="60"/>
              <w:ind w:left="220" w:hanging="160"/>
            </w:pPr>
            <w:r>
              <w:rPr>
                <w:rFonts w:ascii="Arial" w:cs="Arial" w:eastAsia="Arial" w:hAnsi="Arial"/>
                <w:sz w:val="19"/>
                <w:szCs w:val="19"/>
              </w:rPr>
              <w:t xml:space="preserve">• Устройство для автоматического регулирования неэлектрических величин - скорости вращения и крутящего момента вала асинхронного и синхронного электродвигателя переменного тока, использующегося в системах отопления, вентиляции, кондиционирования и т.п., принцип… (решений с таким началом описания: 2)</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Устройство для автоматического регулирования неэлектрических величин - скорости вращения и крутящего момента вала асинхронного и синхронного электродвигателя переменного тока, использующегося в системах отопления, вентиляции, кондиционирования и т.п. Принцип… (решений с таким началом описания: 2)</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Устройство для автоматического регулирования неэлектрических величин - скорости вращения и крутящего момента вала асинхронного или синхронного электродвигателя насоса, вентилятора, станка, конвейера. Принцип действия товара основан на электрическом явлении.…</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color w:val="5B6472"/>
                <w:sz w:val="17"/>
                <w:szCs w:val="17"/>
              </w:rPr>
              <w:t xml:space="preserve">Ещё решений: 37, все — на странице кода.</w:t>
            </w:r>
          </w:p>
          <w:p>
            <w:pPr>
              <w:spacing w:after="60"/>
            </w:pPr>
            <w:r>
              <w:rPr>
                <w:rFonts w:ascii="Arial" w:cs="Arial" w:eastAsia="Arial" w:hAnsi="Arial"/>
                <w:b/>
                <w:bCs/>
                <w:sz w:val="19"/>
                <w:szCs w:val="19"/>
              </w:rPr>
              <w:t xml:space="preserve">Предварительные решения других стран ЕАЭС (15);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Пункт автоматического регулирования напряжения (ПАРН) предназначен для регулирования и поддержания напряжения электрических сетей в заданных диапазонах при прямом или обратном направлении потока мощности (реверсивный режим), применяется…</w:t>
            </w:r>
          </w:p>
          <w:p>
            <w:pPr>
              <w:spacing w:after="60"/>
            </w:pPr>
            <w:r>
              <w:rPr>
                <w:rFonts w:ascii="Arial" w:cs="Arial" w:eastAsia="Arial" w:hAnsi="Arial"/>
                <w:color w:val="5B6472"/>
                <w:sz w:val="17"/>
                <w:szCs w:val="17"/>
              </w:rPr>
              <w:t xml:space="preserve">В соответсвии с ОПИ 1, 3б и 6 ТН ВЭД ЕАЭС.</w:t>
            </w:r>
          </w:p>
          <w:p>
            <w:pPr>
              <w:spacing w:after="60"/>
              <w:ind w:left="220" w:hanging="160"/>
            </w:pPr>
            <w:r>
              <w:rPr>
                <w:rFonts w:ascii="Arial" w:cs="Arial" w:eastAsia="Arial" w:hAnsi="Arial"/>
                <w:sz w:val="19"/>
                <w:szCs w:val="19"/>
              </w:rPr>
              <w:t xml:space="preserve">• Беларусь: Товар представляет собой регулятор в системе контроля, обеспечивающий заданную координацию положения пневматического исполнительного механизма поступательного или поворотного действия. В качестве объектов регулирования могут выступать…</w:t>
            </w:r>
          </w:p>
          <w:p>
            <w:pPr>
              <w:spacing w:after="60"/>
            </w:pPr>
            <w:r>
              <w:rPr>
                <w:rFonts w:ascii="Arial" w:cs="Arial" w:eastAsia="Arial" w:hAnsi="Arial"/>
                <w:color w:val="5B6472"/>
                <w:sz w:val="17"/>
                <w:szCs w:val="17"/>
              </w:rPr>
              <w:t xml:space="preserve">Основные правила интерпретации 1 (примечание 7(б) к группе 90) и 6 ТН ВЭД ЕАЭС.</w:t>
            </w:r>
          </w:p>
          <w:p>
            <w:pPr>
              <w:spacing w:after="60"/>
              <w:ind w:left="220" w:hanging="160"/>
            </w:pPr>
            <w:r>
              <w:rPr>
                <w:rFonts w:ascii="Arial" w:cs="Arial" w:eastAsia="Arial" w:hAnsi="Arial"/>
                <w:sz w:val="19"/>
                <w:szCs w:val="19"/>
              </w:rPr>
              <w:t xml:space="preserve">• Беларусь: Электронное устройство, предназначенное для работы в составе автомобильного генератора для управления выходным напряжением генератора с помощью ротора, входящего в состав генератора. Регулятор напряжения состоит из корпуса, проводников,…</w:t>
            </w:r>
          </w:p>
          <w:p>
            <w:pPr>
              <w:spacing w:after="60"/>
            </w:pPr>
            <w:r>
              <w:rPr>
                <w:rFonts w:ascii="Arial" w:cs="Arial" w:eastAsia="Arial" w:hAnsi="Arial"/>
                <w:color w:val="5B6472"/>
                <w:sz w:val="17"/>
                <w:szCs w:val="17"/>
              </w:rPr>
              <w:t xml:space="preserve">Основные правила интерпретации 1 (примечание 7 (б) к группе 90) и 6 ТН ВЭД ЕАЭС.</w:t>
            </w:r>
          </w:p>
          <w:p>
            <w:pPr>
              <w:spacing w:after="60"/>
              <w:ind w:left="220" w:hanging="160"/>
            </w:pPr>
            <w:r>
              <w:rPr>
                <w:rFonts w:ascii="Arial" w:cs="Arial" w:eastAsia="Arial" w:hAnsi="Arial"/>
                <w:sz w:val="19"/>
                <w:szCs w:val="19"/>
              </w:rPr>
              <w:t xml:space="preserve">• Казахстан: 7. Описание товара: Прибор приемо-контрольный и управления пожарный. Модификация – mod 4. Артикул – 905231.Товарный знак: Minimax. Модель: FMZ 5000 предназначена для управления системами пожарной сигнализации и пожаротушения, имеет…</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Аттеннюатор используется для точного внесения затухания в волноводной линии при измерении мощности передатчика СВЧ, проверки чувствительности приемника, может использоваться в составе измерительного комплекса под управлением анализатора…</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Ещё решений: 10, все — на странице кода.</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y1p9udmmv81zhkoqivb4m">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9032890000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sowg0iqipwp73lpofpvik">
              <w:r>
                <w:rPr>
                  <w:rFonts w:ascii="Arial" w:cs="Arial" w:eastAsia="Arial" w:hAnsi="Arial"/>
                  <w:color w:val="1F5FBF"/>
                  <w:sz w:val="19"/>
                  <w:szCs w:val="19"/>
                  <w:u w:val="single"/>
                </w:rPr>
                <w:t xml:space="preserve">ТР ТС 016/2011</w:t>
              </w:r>
            </w:hyperlink>
            <w:r>
              <w:rPr>
                <w:rFonts w:ascii="Arial" w:cs="Arial" w:eastAsia="Arial" w:hAnsi="Arial"/>
                <w:sz w:val="19"/>
                <w:szCs w:val="19"/>
              </w:rPr>
              <w:t xml:space="preserve">; </w:t>
            </w:r>
            <w:hyperlink w:history="1" r:id="rId0phno0jhc5jsycs5noxtp">
              <w:r>
                <w:rPr>
                  <w:rFonts w:ascii="Arial" w:cs="Arial" w:eastAsia="Arial" w:hAnsi="Arial"/>
                  <w:color w:val="1F5FBF"/>
                  <w:sz w:val="19"/>
                  <w:szCs w:val="19"/>
                  <w:u w:val="single"/>
                </w:rPr>
                <w:t xml:space="preserve">ТР ТС 032/2013</w:t>
              </w:r>
            </w:hyperlink>
            <w:r>
              <w:rPr>
                <w:rFonts w:ascii="Arial" w:cs="Arial" w:eastAsia="Arial" w:hAnsi="Arial"/>
                <w:sz w:val="19"/>
                <w:szCs w:val="19"/>
              </w:rPr>
              <w:t xml:space="preserve">; </w:t>
            </w:r>
            <w:hyperlink w:history="1" r:id="rIdgj0ohiujsunbwgnr019sw">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ggeu4wwlanee13rxe8ajy">
              <w:r>
                <w:rPr>
                  <w:rFonts w:ascii="Arial" w:cs="Arial" w:eastAsia="Arial" w:hAnsi="Arial"/>
                  <w:color w:val="1F5FBF"/>
                  <w:sz w:val="19"/>
                  <w:szCs w:val="19"/>
                  <w:u w:val="single"/>
                </w:rPr>
                <w:t xml:space="preserve">ТР ТС 032/2013</w:t>
              </w:r>
            </w:hyperlink>
            <w:r>
              <w:rPr>
                <w:rFonts w:ascii="Arial" w:cs="Arial" w:eastAsia="Arial" w:hAnsi="Arial"/>
                <w:sz w:val="19"/>
                <w:szCs w:val="19"/>
              </w:rPr>
              <w:t xml:space="preserve">; </w:t>
            </w:r>
            <w:hyperlink w:history="1" r:id="rId8gnfmayvdzgymhqbh5asc">
              <w:r>
                <w:rPr>
                  <w:rFonts w:ascii="Arial" w:cs="Arial" w:eastAsia="Arial" w:hAnsi="Arial"/>
                  <w:color w:val="1F5FBF"/>
                  <w:sz w:val="19"/>
                  <w:szCs w:val="19"/>
                  <w:u w:val="single"/>
                </w:rPr>
                <w:t xml:space="preserve">ТР ТС 004/2011</w:t>
              </w:r>
            </w:hyperlink>
            <w:r>
              <w:rPr>
                <w:rFonts w:ascii="Arial" w:cs="Arial" w:eastAsia="Arial" w:hAnsi="Arial"/>
                <w:sz w:val="19"/>
                <w:szCs w:val="19"/>
              </w:rPr>
              <w:t xml:space="preserve">; </w:t>
            </w:r>
            <w:hyperlink w:history="1" r:id="rIdx-n6yl-ovme1sdltsaqky">
              <w:r>
                <w:rPr>
                  <w:rFonts w:ascii="Arial" w:cs="Arial" w:eastAsia="Arial" w:hAnsi="Arial"/>
                  <w:color w:val="1F5FBF"/>
                  <w:sz w:val="19"/>
                  <w:szCs w:val="19"/>
                  <w:u w:val="single"/>
                </w:rPr>
                <w:t xml:space="preserve">ТР ТС 018/2011</w:t>
              </w:r>
            </w:hyperlink>
            <w:r>
              <w:rPr>
                <w:rFonts w:ascii="Arial" w:cs="Arial" w:eastAsia="Arial" w:hAnsi="Arial"/>
                <w:sz w:val="19"/>
                <w:szCs w:val="19"/>
              </w:rPr>
              <w:t xml:space="preserve">; </w:t>
            </w:r>
            <w:hyperlink w:history="1" r:id="rIdavcujibiceefptbmqiv4a">
              <w:r>
                <w:rPr>
                  <w:rFonts w:ascii="Arial" w:cs="Arial" w:eastAsia="Arial" w:hAnsi="Arial"/>
                  <w:color w:val="1F5FBF"/>
                  <w:sz w:val="19"/>
                  <w:szCs w:val="19"/>
                  <w:u w:val="single"/>
                </w:rPr>
                <w:t xml:space="preserve">ТР ТС 031/2012</w:t>
              </w:r>
            </w:hyperlink>
            <w:r>
              <w:rPr>
                <w:rFonts w:ascii="Arial" w:cs="Arial" w:eastAsia="Arial" w:hAnsi="Arial"/>
                <w:sz w:val="19"/>
                <w:szCs w:val="19"/>
              </w:rPr>
              <w:t xml:space="preserve">; </w:t>
            </w:r>
            <w:hyperlink w:history="1" r:id="rId6o8qhlaqduoxycnbollol">
              <w:r>
                <w:rPr>
                  <w:rFonts w:ascii="Arial" w:cs="Arial" w:eastAsia="Arial" w:hAnsi="Arial"/>
                  <w:color w:val="1F5FBF"/>
                  <w:sz w:val="19"/>
                  <w:szCs w:val="19"/>
                  <w:u w:val="single"/>
                </w:rPr>
                <w:t xml:space="preserve">ТР ЕАЭС 050/2021</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dyywbupeqy9cqh9-cunql">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e7eu_u6ej5xobsyaqotj0">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9s4i4txepyf-fkvxqivuq">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wmdwn6h6anfdwkbezskrz">
              <w:r>
                <w:rPr>
                  <w:rFonts w:ascii="Arial" w:cs="Arial" w:eastAsia="Arial" w:hAnsi="Arial"/>
                  <w:color w:val="1F5FBF"/>
                  <w:sz w:val="19"/>
                  <w:szCs w:val="19"/>
                  <w:u w:val="single"/>
                </w:rPr>
                <w:t xml:space="preserve">Решение Коллегии ЕЭК № 29 от 26.03.2024</w:t>
              </w:r>
            </w:hyperlink>
            <w:r>
              <w:rPr>
                <w:rFonts w:ascii="Arial" w:cs="Arial" w:eastAsia="Arial" w:hAnsi="Arial"/>
                <w:sz w:val="19"/>
                <w:szCs w:val="19"/>
              </w:rPr>
              <w:t xml:space="preserve"> — О перечне продукции, подлежащей обязательной оценке соответствия требованиям технического регламента Евразийского экономического союза «О безопасности продукции, предназначенной для гражданской… (вступило в силу 27.04.2024)</w:t>
            </w:r>
          </w:p>
          <w:p>
            <w:pPr>
              <w:spacing w:after="60"/>
              <w:ind w:left="220" w:hanging="160"/>
            </w:pPr>
            <w:r>
              <w:rPr>
                <w:rFonts w:ascii="Arial" w:cs="Arial" w:eastAsia="Arial" w:hAnsi="Arial"/>
                <w:sz w:val="19"/>
                <w:szCs w:val="19"/>
              </w:rPr>
              <w:t xml:space="preserve">• </w:t>
            </w:r>
            <w:hyperlink w:history="1" r:id="rId1wc3dqopuauqr2x-pntio">
              <w:r>
                <w:rPr>
                  <w:rFonts w:ascii="Arial" w:cs="Arial" w:eastAsia="Arial" w:hAnsi="Arial"/>
                  <w:color w:val="1F5FBF"/>
                  <w:sz w:val="19"/>
                  <w:szCs w:val="19"/>
                  <w:u w:val="single"/>
                </w:rPr>
                <w:t xml:space="preserve">Решение Коллегии ЕЭК № 30 от 21.03.2017</w:t>
              </w:r>
            </w:hyperlink>
            <w:r>
              <w:rPr>
                <w:rFonts w:ascii="Arial" w:cs="Arial" w:eastAsia="Arial" w:hAnsi="Arial"/>
                <w:sz w:val="19"/>
                <w:szCs w:val="19"/>
              </w:rPr>
              <w:t xml:space="preserve"> — О внесении изменений в некоторые решения Коллегии Евразийской экономической комиссии (вступило в силу 22.04.2017)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26.51.70 — Термостаты, стабилизаторы давления и прочие приборы и аппаратура для автоматического регулирования или управления</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https://imexp.ru/katalog/kod/9032890000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up059quz2h5aofwnquqe" Type="http://schemas.openxmlformats.org/officeDocument/2006/relationships/hyperlink" Target="https://imexp.ru/akty/reshenie-soveta-eek-80-2021" TargetMode="External"/><Relationship Id="rIdptidbxrjvtqdoame0eirb" Type="http://schemas.openxmlformats.org/officeDocument/2006/relationships/hyperlink" Target="https://imexp.ru/akty/reshenie-soveta-eek-80-2021" TargetMode="External"/><Relationship Id="rIdlm6poxqbwd8wnn6dqszrb" Type="http://schemas.openxmlformats.org/officeDocument/2006/relationships/hyperlink" Target="https://imexp.ru/katalog/tehreglamenty/tr-ts-016-2011" TargetMode="External"/><Relationship Id="rIddncz_bh1hs-5jvtsrjage" Type="http://schemas.openxmlformats.org/officeDocument/2006/relationships/hyperlink" Target="https://imexp.ru/katalog/tehreglamenty/tr-ts-032-2013" TargetMode="External"/><Relationship Id="rIdrdmq1w4ytkitp416nfmli" Type="http://schemas.openxmlformats.org/officeDocument/2006/relationships/hyperlink" Target="https://imexp.ru/katalog/tehreglamenty/tr-ts-004-2011" TargetMode="External"/><Relationship Id="rIdcdzv0yyfy6-7gxdxi2lcw" Type="http://schemas.openxmlformats.org/officeDocument/2006/relationships/hyperlink" Target="https://imexp.ru/katalog/tehreglamenty/tr-ts-018-2011" TargetMode="External"/><Relationship Id="rIde34hdpouo6zfj8utpc2xo" Type="http://schemas.openxmlformats.org/officeDocument/2006/relationships/hyperlink" Target="https://imexp.ru/katalog/tehreglamenty/tr-ts-031-2012" TargetMode="External"/><Relationship Id="rIdp0quyht7v2qdudu6ic-hb" Type="http://schemas.openxmlformats.org/officeDocument/2006/relationships/hyperlink" Target="https://imexp.ru/katalog/tehreglamenty/tr-eaes-050-2021" TargetMode="External"/><Relationship Id="rId03c68qoofaetvfpzexao4" Type="http://schemas.openxmlformats.org/officeDocument/2006/relationships/hyperlink" Target="https://imexp.ru/akty/postanovlenie-353-2022" TargetMode="External"/><Relationship Id="rIdb00ti_shbfrfkc6hby5kd" Type="http://schemas.openxmlformats.org/officeDocument/2006/relationships/hyperlink" Target="https://imexp.ru/akty/prikaz-minpromtorga-4114-2024" TargetMode="External"/><Relationship Id="rIdlhznxu2wmf3xkc7iqjzrm" Type="http://schemas.openxmlformats.org/officeDocument/2006/relationships/hyperlink" Target="https://imexp.ru/akty/reshenie-kollegii-eek-154-2019" TargetMode="External"/><Relationship Id="rIdn7jpzh66jl7-s6o8q_tpg" Type="http://schemas.openxmlformats.org/officeDocument/2006/relationships/hyperlink" Target="https://imexp.ru/akty/prikaz-minpromtorga-2701-2023" TargetMode="External"/><Relationship Id="rIdkzagejz_gvkeyrgz6j3so" Type="http://schemas.openxmlformats.org/officeDocument/2006/relationships/hyperlink" Target="https://eur-lex.europa.eu/eli/reg/2014/833/oj/eng" TargetMode="External"/><Relationship Id="rIdi6znzf5_g2elcarhyp-gp" Type="http://schemas.openxmlformats.org/officeDocument/2006/relationships/hyperlink" Target="https://www.legislation.gov.uk/uksi/2019/855/contents" TargetMode="External"/><Relationship Id="rIdwwrlkieelwsuinqdpztd5" Type="http://schemas.openxmlformats.org/officeDocument/2006/relationships/hyperlink" Target="https://www.ecfr.gov/current/title-15/subtitle-B/chapter-VII/subchapter-C/part-746" TargetMode="External"/><Relationship Id="rIdwnu7uqi9nic0hm5rj9zuq" Type="http://schemas.openxmlformats.org/officeDocument/2006/relationships/hyperlink" Target="https://imexp.ru/akty/prikaz-minpromtorga-2701-2023" TargetMode="External"/><Relationship Id="rIddknrzafihq8bbi9agqzwy" Type="http://schemas.openxmlformats.org/officeDocument/2006/relationships/hyperlink" Target="https://imexp.ru/akty/reshenie-soveta-eek-80-2021" TargetMode="External"/><Relationship Id="rIdjyl1zj93l14jqavn_ddty" Type="http://schemas.openxmlformats.org/officeDocument/2006/relationships/hyperlink" Target="https://imexp.ru/akty/reshenie-soveta-eek-8-2017" TargetMode="External"/><Relationship Id="rIdjiwo1r_2nxcylvleel1n8" Type="http://schemas.openxmlformats.org/officeDocument/2006/relationships/hyperlink" Target="https://imexp.ru/akty/postanovlenie-1637-2024" TargetMode="External"/><Relationship Id="rIdyhu1kof5gzpe5zsx3dtkv" Type="http://schemas.openxmlformats.org/officeDocument/2006/relationships/hyperlink" Target="https://imexp.ru/akty/rasporyazhenie-792-r-2018" TargetMode="External"/><Relationship Id="rId4ylp1s1i_4rbetvjs7irh" Type="http://schemas.openxmlformats.org/officeDocument/2006/relationships/hyperlink" Target="https://imexp.ru/katalog/tehreglamenty/tr-ts-016-2011" TargetMode="External"/><Relationship Id="rIdwy2z0tfen-ntml4pso7bp" Type="http://schemas.openxmlformats.org/officeDocument/2006/relationships/hyperlink" Target="https://imexp.ru/katalog/tehreglamenty/tr-ts-032-2013" TargetMode="External"/><Relationship Id="rIdlsddkw5mtqh-y4gasha94" Type="http://schemas.openxmlformats.org/officeDocument/2006/relationships/hyperlink" Target="https://imexp.ru/katalog/tehreglamenty/tr-ts-004-2011" TargetMode="External"/><Relationship Id="rIdz5mhb5jkqjtdcwbvcpiul" Type="http://schemas.openxmlformats.org/officeDocument/2006/relationships/hyperlink" Target="https://imexp.ru/katalog/tehreglamenty/tr-ts-018-2011" TargetMode="External"/><Relationship Id="rIdc5nvwrsrxyyyfmjamwlx5" Type="http://schemas.openxmlformats.org/officeDocument/2006/relationships/hyperlink" Target="https://imexp.ru/katalog/tehreglamenty/tr-ts-031-2012" TargetMode="External"/><Relationship Id="rIdvfzvdbepyendcgycsoi2_" Type="http://schemas.openxmlformats.org/officeDocument/2006/relationships/hyperlink" Target="https://imexp.ru/katalog/tehreglamenty/tr-eaes-050-2021" TargetMode="External"/><Relationship Id="rIds-nea5ouj72twzhlqom7-" Type="http://schemas.openxmlformats.org/officeDocument/2006/relationships/hyperlink" Target="https://imexp.ru/katalog/tehreglamenty/tr-ts-020-2011" TargetMode="External"/><Relationship Id="rId459xf7dam_as8dbcumz-0" Type="http://schemas.openxmlformats.org/officeDocument/2006/relationships/hyperlink" Target="https://imexp.ru/katalog/tehreglamenty/tr-ts-004-2011" TargetMode="External"/><Relationship Id="rIdv-trw8uyj90pc1ndjvuub" Type="http://schemas.openxmlformats.org/officeDocument/2006/relationships/hyperlink" Target="https://imexp.ru/katalog/tehreglamenty/tr-ts-018-2011" TargetMode="External"/><Relationship Id="rId4djapqsa3w40df4q9-t88" Type="http://schemas.openxmlformats.org/officeDocument/2006/relationships/hyperlink" Target="https://imexp.ru/akty/reshenie-kollegii-eek-154-2019" TargetMode="External"/><Relationship Id="rIdjtso7euvrcqbtz6v60qer" Type="http://schemas.openxmlformats.org/officeDocument/2006/relationships/hyperlink" Target="https://imexp.ru/akty/reshenie-soveta-eek-157-2016" TargetMode="External"/><Relationship Id="rIdgjdvry2esb8-pb5hwhll8" Type="http://schemas.openxmlformats.org/officeDocument/2006/relationships/hyperlink" Target="https://imexp.ru/akty/postanovlenie-1299-2022" TargetMode="External"/><Relationship Id="rIdm4gjtudaqdgvd7dgvvxom" Type="http://schemas.openxmlformats.org/officeDocument/2006/relationships/hyperlink" Target="https://imexp.ru/akty/postanovlenie-1299-2022" TargetMode="External"/><Relationship Id="rIds5oau4knwa1eymeiawdan" Type="http://schemas.openxmlformats.org/officeDocument/2006/relationships/hyperlink" Target="https://imexp.ru/akty/postanovlenie-1299-2022" TargetMode="External"/><Relationship Id="rIdj8mlxoqbfx79jdbmyuxeh" Type="http://schemas.openxmlformats.org/officeDocument/2006/relationships/hyperlink" Target="https://imexp.ru/akty/postanovlenie-1299-2022" TargetMode="External"/><Relationship Id="rId3vskvhxocmw1hbznr7uut" Type="http://schemas.openxmlformats.org/officeDocument/2006/relationships/hyperlink" Target="https://imexp.ru/akty/postanovlenie-1299-2022" TargetMode="External"/><Relationship Id="rIdc4omuqv3pbb3_3qznrtgu" Type="http://schemas.openxmlformats.org/officeDocument/2006/relationships/hyperlink" Target="https://imexp.ru/akty/postanovlenie-1299-2022" TargetMode="External"/><Relationship Id="rIdl4jgiepebbxrkdgqafksk" Type="http://schemas.openxmlformats.org/officeDocument/2006/relationships/hyperlink" Target="https://imexp.ru/akty/postanovlenie-1288-2022" TargetMode="External"/><Relationship Id="rIdas2tplmh0y5btgafbhr1x" Type="http://schemas.openxmlformats.org/officeDocument/2006/relationships/hyperlink" Target="https://imexp.ru/akty/federalnyy-zakon-183-fz-1999" TargetMode="External"/><Relationship Id="rIdy1p9udmmv81zhkoqivb4m" Type="http://schemas.openxmlformats.org/officeDocument/2006/relationships/hyperlink" Target="https://imexp.ru/akty/reshenie-kollegii-eek-45-2018" TargetMode="External"/><Relationship Id="rIdsowg0iqipwp73lpofpvik" Type="http://schemas.openxmlformats.org/officeDocument/2006/relationships/hyperlink" Target="https://imexp.ru/katalog/tehreglamenty/tr-ts-016-2011" TargetMode="External"/><Relationship Id="rId0phno0jhc5jsycs5noxtp" Type="http://schemas.openxmlformats.org/officeDocument/2006/relationships/hyperlink" Target="https://imexp.ru/katalog/tehreglamenty/tr-ts-032-2013" TargetMode="External"/><Relationship Id="rIdgj0ohiujsunbwgnr019sw" Type="http://schemas.openxmlformats.org/officeDocument/2006/relationships/hyperlink" Target="https://imexp.ru/katalog/tehreglamenty/tr-ts-018-2011" TargetMode="External"/><Relationship Id="rIdggeu4wwlanee13rxe8ajy" Type="http://schemas.openxmlformats.org/officeDocument/2006/relationships/hyperlink" Target="https://imexp.ru/katalog/tehreglamenty/tr-ts-032-2013" TargetMode="External"/><Relationship Id="rId8gnfmayvdzgymhqbh5asc" Type="http://schemas.openxmlformats.org/officeDocument/2006/relationships/hyperlink" Target="https://imexp.ru/katalog/tehreglamenty/tr-ts-004-2011" TargetMode="External"/><Relationship Id="rIdx-n6yl-ovme1sdltsaqky" Type="http://schemas.openxmlformats.org/officeDocument/2006/relationships/hyperlink" Target="https://imexp.ru/katalog/tehreglamenty/tr-ts-018-2011" TargetMode="External"/><Relationship Id="rIdavcujibiceefptbmqiv4a" Type="http://schemas.openxmlformats.org/officeDocument/2006/relationships/hyperlink" Target="https://imexp.ru/katalog/tehreglamenty/tr-ts-031-2012" TargetMode="External"/><Relationship Id="rId6o8qhlaqduoxycnbollol" Type="http://schemas.openxmlformats.org/officeDocument/2006/relationships/hyperlink" Target="https://imexp.ru/katalog/tehreglamenty/tr-eaes-050-2021" TargetMode="External"/><Relationship Id="rIddyywbupeqy9cqh9-cunql" Type="http://schemas.openxmlformats.org/officeDocument/2006/relationships/hyperlink" Target="https://imexp.ru/akty/reshenie-kts-257-2010" TargetMode="External"/><Relationship Id="rIde7eu_u6ej5xobsyaqotj0" Type="http://schemas.openxmlformats.org/officeDocument/2006/relationships/hyperlink" Target="https://imexp.ru/akty/reshenie-kts-378-2010" TargetMode="External"/><Relationship Id="rId9s4i4txepyf-fkvxqivuq" Type="http://schemas.openxmlformats.org/officeDocument/2006/relationships/hyperlink" Target="https://docs.eaeunion.org/documents/447/9823/" TargetMode="External"/><Relationship Id="rIdwmdwn6h6anfdwkbezskrz" Type="http://schemas.openxmlformats.org/officeDocument/2006/relationships/hyperlink" Target="https://docs.eaeunion.org/documents/429/8014/" TargetMode="External"/><Relationship Id="rId1wc3dqopuauqr2x-pntio" Type="http://schemas.openxmlformats.org/officeDocument/2006/relationships/hyperlink" Target="https://docs.eaeunion.org/documents/315/2858/" TargetMode="External"/><Relationship Id="rId6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9032 89 000 0</dc:title>
  <dc:creator>IMEXP</dc:creator>
  <cp:lastModifiedBy>Un-named</cp:lastModifiedBy>
  <cp:revision>1</cp:revision>
  <dcterms:created xsi:type="dcterms:W3CDTF">2026-11-07T18:36:13.844Z</dcterms:created>
  <dcterms:modified xsi:type="dcterms:W3CDTF">2026-11-07T18:36:13.844Z</dcterms:modified>
</cp:coreProperties>
</file>

<file path=docProps/custom.xml><?xml version="1.0" encoding="utf-8"?>
<Properties xmlns="http://schemas.openxmlformats.org/officeDocument/2006/custom-properties" xmlns:vt="http://schemas.openxmlformats.org/officeDocument/2006/docPropsVTypes"/>
</file>