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9306 90 900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XIX. Оружие и боеприпасы; их части и принадлежности</w:t>
            </w:r>
          </w:p>
          <w:p>
            <w:pPr>
              <w:spacing w:after="60"/>
            </w:pPr>
            <w:r>
              <w:rPr>
                <w:rFonts w:ascii="Arial" w:cs="Arial" w:eastAsia="Arial" w:hAnsi="Arial"/>
                <w:color w:val="5B6472"/>
                <w:sz w:val="17"/>
                <w:szCs w:val="17"/>
              </w:rPr>
              <w:t xml:space="preserve">93 — ОРУЖИЕ И БОЕПРИПАСЫ; ИХ ЧАСТИ И ПРИНАДЛЕЖНОСТИ</w:t>
            </w:r>
          </w:p>
          <w:p>
            <w:pPr>
              <w:spacing w:after="60"/>
            </w:pPr>
            <w:r>
              <w:rPr>
                <w:rFonts w:ascii="Arial" w:cs="Arial" w:eastAsia="Arial" w:hAnsi="Arial"/>
                <w:color w:val="5B6472"/>
                <w:sz w:val="17"/>
                <w:szCs w:val="17"/>
              </w:rPr>
              <w:t xml:space="preserve">9306 — Бомбы, гранаты, торпеды, мины, ракеты и аналогичные средства для ведения боевых действий, их части; патроны, прочие боеприпасы, снаряды и их части, включая дробь и пыжи для патронов</w:t>
            </w:r>
          </w:p>
          <w:p>
            <w:pPr>
              <w:spacing w:after="60"/>
            </w:pPr>
            <w:r>
              <w:rPr>
                <w:rFonts w:ascii="Arial" w:cs="Arial" w:eastAsia="Arial" w:hAnsi="Arial"/>
                <w:color w:val="5B6472"/>
                <w:sz w:val="17"/>
                <w:szCs w:val="17"/>
              </w:rPr>
              <w:t xml:space="preserve">9306 90 — Прочие</w:t>
            </w:r>
          </w:p>
          <w:p>
            <w:pPr>
              <w:spacing w:after="60"/>
            </w:pPr>
            <w:r>
              <w:rPr>
                <w:rFonts w:ascii="Arial" w:cs="Arial" w:eastAsia="Arial" w:hAnsi="Arial"/>
                <w:color w:val="5B6472"/>
                <w:sz w:val="17"/>
                <w:szCs w:val="17"/>
              </w:rPr>
              <w:t xml:space="preserve">9306 90 90 — Прочие: прочие</w:t>
            </w:r>
          </w:p>
          <w:p>
            <w:pPr>
              <w:spacing w:after="60"/>
            </w:pPr>
            <w:r>
              <w:rPr>
                <w:rFonts w:ascii="Arial" w:cs="Arial" w:eastAsia="Arial" w:hAnsi="Arial"/>
                <w:b/>
                <w:bCs/>
                <w:sz w:val="19"/>
                <w:szCs w:val="19"/>
              </w:rPr>
              <w:t xml:space="preserve">9306 90 900 0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bmqidkwa7nxhnfxo7k4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frvpstgdyc_eintnorm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w:t>
            </w:r>
            <w:hyperlink w:history="1" r:id="rIdpqcyfek-1moohn2pbajcw">
              <w:r>
                <w:rPr>
                  <w:rFonts w:ascii="Arial" w:cs="Arial" w:eastAsia="Arial" w:hAnsi="Arial"/>
                  <w:color w:val="1F5FBF"/>
                  <w:sz w:val="19"/>
                  <w:szCs w:val="19"/>
                  <w:u w:val="single"/>
                </w:rPr>
                <w:t xml:space="preserve">Постановление Правительства РФ от 09.03.2022 № 313</w:t>
              </w:r>
            </w:hyperlink>
            <w:r>
              <w:rPr>
                <w:rFonts w:ascii="Arial" w:cs="Arial" w:eastAsia="Arial" w:hAnsi="Arial"/>
                <w:sz w:val="19"/>
                <w:szCs w:val="19"/>
              </w:rPr>
              <w:t xml:space="preserve"> (только при вывозе в страны, названные в разделе запретов)</w:t>
            </w:r>
          </w:p>
          <w:p>
            <w:pPr>
              <w:spacing w:after="60"/>
              <w:ind w:left="220" w:hanging="160"/>
            </w:pPr>
            <w:r>
              <w:rPr>
                <w:rFonts w:ascii="Arial" w:cs="Arial" w:eastAsia="Arial" w:hAnsi="Arial"/>
                <w:sz w:val="19"/>
                <w:szCs w:val="19"/>
              </w:rPr>
              <w:t xml:space="preserve">• Запрет — </w:t>
            </w:r>
            <w:hyperlink w:history="1" r:id="rIdcyaxkm51muzq93j2frmp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1.6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f9fwy64pon_vt7qqdcnfd">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1.1.7.1, 1.3.7.2.1, 9.1.10.3 и другие (если товар относится к этому виду)</w:t>
            </w:r>
          </w:p>
          <w:p>
            <w:pPr>
              <w:spacing w:after="60"/>
              <w:ind w:left="220" w:hanging="160"/>
            </w:pPr>
            <w:r>
              <w:rPr>
                <w:rFonts w:ascii="Arial" w:cs="Arial" w:eastAsia="Arial" w:hAnsi="Arial"/>
                <w:sz w:val="19"/>
                <w:szCs w:val="19"/>
              </w:rPr>
              <w:t xml:space="preserve">• Разрешение по экспортному контролю — </w:t>
            </w:r>
            <w:hyperlink w:history="1" r:id="rIdlgn00vzc94f_xh-pac1rn">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7ezut0jv5fvtbtnyuqzp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Товары двойного назначения; Беспилотные летательные аппараты и их части</w:t>
            </w:r>
          </w:p>
          <w:p>
            <w:pPr>
              <w:spacing w:after="60"/>
            </w:pPr>
            <w:r>
              <w:rPr>
                <w:rFonts w:ascii="Arial" w:cs="Arial" w:eastAsia="Arial" w:hAnsi="Arial"/>
                <w:color w:val="5B6472"/>
                <w:sz w:val="17"/>
                <w:szCs w:val="17"/>
              </w:rPr>
              <w:t xml:space="preserve">Страны: Австралия, Албания, Андорра, Багамские Острова, Великобритания, государства — члены ЕС, Исландия, Канада, Лихтенштейн, Микронезия, Монако, Новая Зеландия, Норвегия, Республика Корея, Сан-Марино, Северная Македония, Сингапур, США, Тайвань, Украина, Черногория, Швейцария, Япония; до 31.12.2027; </w:t>
            </w:r>
            <w:hyperlink w:history="1" r:id="rIdxt_hnvrg7n0n86ntekimc">
              <w:r>
                <w:rPr>
                  <w:rFonts w:ascii="Arial" w:cs="Arial" w:eastAsia="Arial" w:hAnsi="Arial"/>
                  <w:color w:val="1F5FBF"/>
                  <w:sz w:val="17"/>
                  <w:szCs w:val="17"/>
                  <w:u w:val="single"/>
                </w:rPr>
                <w:t xml:space="preserve">Постановление Правительства РФ от 09.03.2022 № 313</w:t>
              </w:r>
            </w:hyperlink>
          </w:p>
          <w:p>
            <w:pPr>
              <w:spacing w:after="60"/>
              <w:ind w:left="220" w:hanging="160"/>
            </w:pPr>
            <w:r>
              <w:rPr>
                <w:rFonts w:ascii="Arial" w:cs="Arial" w:eastAsia="Arial" w:hAnsi="Arial"/>
                <w:sz w:val="19"/>
                <w:szCs w:val="19"/>
              </w:rPr>
              <w:t xml:space="preserve">• ввоз и вывоз: запрет — Служебное и гражданское оружие, его основные части и патроны к нему, запрещенные к ввозу и (или) вывозу (касается части товаров кода)</w:t>
            </w:r>
          </w:p>
          <w:p>
            <w:pPr>
              <w:spacing w:after="60"/>
            </w:pPr>
            <w:hyperlink w:history="1" r:id="rId07ne709rdo9plz2d0bp2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d7oiqrytbeemxytmovm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1.1.7.1: Запускающие устройства (запальные системы), разработанные для приведения в действие детонаторов взрывчатого вещества, определенных в пункте 1.1.7.2;</w:t>
            </w:r>
          </w:p>
          <w:p>
            <w:pPr>
              <w:spacing w:after="60"/>
              <w:ind w:left="220" w:hanging="160"/>
            </w:pPr>
            <w:r>
              <w:rPr>
                <w:rFonts w:ascii="Arial" w:cs="Arial" w:eastAsia="Arial" w:hAnsi="Arial"/>
                <w:sz w:val="19"/>
                <w:szCs w:val="19"/>
              </w:rPr>
              <w:t xml:space="preserve">• </w:t>
            </w:r>
            <w:hyperlink w:history="1" r:id="rIdgmdukybndpdaafur52w5p">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1.3.7.2.1: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w:t>
            </w:r>
            <w:hyperlink w:history="1" r:id="rIdnxlh8pb3sfe1qzvqmk6a4">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9.1.10.3: 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p>
            <w:pPr>
              <w:spacing w:after="60"/>
              <w:ind w:left="220" w:hanging="160"/>
            </w:pPr>
            <w:r>
              <w:rPr>
                <w:rFonts w:ascii="Arial" w:cs="Arial" w:eastAsia="Arial" w:hAnsi="Arial"/>
                <w:sz w:val="19"/>
                <w:szCs w:val="19"/>
              </w:rPr>
              <w:t xml:space="preserve">• </w:t>
            </w:r>
            <w:hyperlink w:history="1" r:id="rIdjp1-thhqbmzuixc5xhan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ind w:left="220" w:hanging="160"/>
            </w:pPr>
            <w:r>
              <w:rPr>
                <w:rFonts w:ascii="Arial" w:cs="Arial" w:eastAsia="Arial" w:hAnsi="Arial"/>
                <w:sz w:val="19"/>
                <w:szCs w:val="19"/>
              </w:rPr>
              <w:t xml:space="preserve">• </w:t>
            </w:r>
            <w:hyperlink w:history="1" r:id="rIdkaandjakwotetjs-j7cf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9.1.8.2: Полученные намоткой корпуса из композиционных материалов с диаметром больше 0,61 м или имеющие показатель эффективности конструкции (PV/W) более 25 км</w:t>
            </w:r>
          </w:p>
          <w:p>
            <w:pPr>
              <w:spacing w:after="60"/>
              <w:ind w:left="220" w:hanging="160"/>
            </w:pPr>
            <w:r>
              <w:rPr>
                <w:rFonts w:ascii="Arial" w:cs="Arial" w:eastAsia="Arial" w:hAnsi="Arial"/>
                <w:sz w:val="19"/>
                <w:szCs w:val="19"/>
              </w:rPr>
              <w:t xml:space="preserve">• </w:t>
            </w:r>
            <w:hyperlink w:history="1" r:id="rId9npvwfgngjw4aaacbkh_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9.1.8.3: Сопла с уровнем тяги, превышающим 45 кН, или скоростью эрозии критического сечения менее 0,075 мм/с;</w:t>
            </w:r>
          </w:p>
          <w:p>
            <w:pPr>
              <w:spacing w:after="60"/>
              <w:ind w:left="220" w:hanging="160"/>
            </w:pPr>
            <w:r>
              <w:rPr>
                <w:rFonts w:ascii="Arial" w:cs="Arial" w:eastAsia="Arial" w:hAnsi="Arial"/>
                <w:sz w:val="19"/>
                <w:szCs w:val="19"/>
              </w:rPr>
              <w:t xml:space="preserve">• </w:t>
            </w:r>
            <w:hyperlink w:history="1" r:id="rIdyg6wt1uzdpygti905omas">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9.1.8.4: Системы управления вектором тяги путем использования поворотного (подвижного) сопла или вдува газа, допускающие любое из следующего:</w:t>
            </w:r>
          </w:p>
          <w:p>
            <w:pPr>
              <w:spacing w:after="60"/>
              <w:ind w:left="220" w:hanging="160"/>
            </w:pPr>
            <w:r>
              <w:rPr>
                <w:rFonts w:ascii="Arial" w:cs="Arial" w:eastAsia="Arial" w:hAnsi="Arial"/>
                <w:sz w:val="19"/>
                <w:szCs w:val="19"/>
              </w:rPr>
              <w:t xml:space="preserve">• </w:t>
            </w:r>
            <w:hyperlink w:history="1" r:id="rId1xf_ya5fkq1upmm1wemvc">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1.3.2.1 (также в разделе «чувствительные товары»):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Постановление № 1288, пункт 1.1.1 (также в разделе «законченные средства доставки»): 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1.1.2 (также в разделе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17.1.1 (также в разделе «уменьшение характеристик заметности»): 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позициях…</w:t>
            </w:r>
          </w:p>
          <w:p>
            <w:pPr>
              <w:spacing w:after="60"/>
              <w:ind w:left="220" w:hanging="160"/>
            </w:pPr>
            <w:r>
              <w:rPr>
                <w:rFonts w:ascii="Arial" w:cs="Arial" w:eastAsia="Arial" w:hAnsi="Arial"/>
                <w:sz w:val="19"/>
                <w:szCs w:val="19"/>
              </w:rPr>
              <w:t xml:space="preserve">• Постановление № 1288, пункт 19.1.1 (также в разделе «прочие законченные средства доставки»): Ракеты (включая баллистические ракеты, ракеты-носители и исследовательские ракеты), не указанные в позиции 1.1.1, с дальностью 300 км и более</w:t>
            </w:r>
          </w:p>
          <w:p>
            <w:pPr>
              <w:spacing w:after="60"/>
              <w:ind w:left="220" w:hanging="160"/>
            </w:pPr>
            <w:r>
              <w:rPr>
                <w:rFonts w:ascii="Arial" w:cs="Arial" w:eastAsia="Arial" w:hAnsi="Arial"/>
                <w:sz w:val="19"/>
                <w:szCs w:val="19"/>
              </w:rPr>
              <w:t xml:space="preserve">• Постановление № 1288, пункт 19.1.2 (также в разделе «прочие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позиции 1.1.2, с максимальной дальностью 300 км и более</w:t>
            </w:r>
          </w:p>
          <w:p>
            <w:pPr>
              <w:spacing w:after="60"/>
              <w:ind w:left="220" w:hanging="160"/>
            </w:pPr>
            <w:r>
              <w:rPr>
                <w:rFonts w:ascii="Arial" w:cs="Arial" w:eastAsia="Arial" w:hAnsi="Arial"/>
                <w:sz w:val="19"/>
                <w:szCs w:val="19"/>
              </w:rPr>
              <w:t xml:space="preserve">• Постановление № 1288, пункт 2.1.1.1 (также в разделе «законченные системы, используемые для законченных средств доставки»): Отдельные ступени ракет, используемые в средствах доставки, указанных в позиции 1.1</w:t>
            </w:r>
          </w:p>
          <w:p>
            <w:pPr>
              <w:spacing w:after="60"/>
              <w:ind w:left="220" w:hanging="160"/>
            </w:pPr>
            <w:r>
              <w:rPr>
                <w:rFonts w:ascii="Arial" w:cs="Arial" w:eastAsia="Arial" w:hAnsi="Arial"/>
                <w:sz w:val="19"/>
                <w:szCs w:val="19"/>
              </w:rPr>
              <w:t xml:space="preserve">• Постановление № 1288, пункт 2.1.1.2 (также в разделе «законченные системы, используемые для законченных средств доставки»): Возвращаемые аппараты и приведенное ниже разработанное или модифицированное для них оборудование, используемые в средствах доставки , указанных в позиции 1.1, исключая оборудование возвращаемых аппаратов, предназначенных для полезных нагрузок невоенного назначения:</w:t>
            </w:r>
          </w:p>
          <w:p>
            <w:pPr>
              <w:spacing w:after="60"/>
              <w:ind w:left="220" w:hanging="160"/>
            </w:pPr>
            <w:r>
              <w:rPr>
                <w:rFonts w:ascii="Arial" w:cs="Arial" w:eastAsia="Arial" w:hAnsi="Arial"/>
                <w:sz w:val="19"/>
                <w:szCs w:val="19"/>
              </w:rPr>
              <w:t xml:space="preserve">• Постановление № 1288, пункт 2.1.1.2.1 (также в разделе «законченные системы, используемые для законченных средств доставки»): Теплозащита и ее элементы, изготовленные из керамических или абляционных материалов;</w:t>
            </w:r>
          </w:p>
          <w:p>
            <w:pPr>
              <w:spacing w:after="60"/>
              <w:ind w:left="220" w:hanging="160"/>
            </w:pPr>
            <w:r>
              <w:rPr>
                <w:rFonts w:ascii="Arial" w:cs="Arial" w:eastAsia="Arial" w:hAnsi="Arial"/>
                <w:sz w:val="19"/>
                <w:szCs w:val="19"/>
              </w:rPr>
              <w:t xml:space="preserve">• Постановление № 1288, пункт 2.1.1.2.2 (также в разделе «законченные системы, используемые для законченных средств доставки»): Теплоизоляция и ее элементы, изготовленные из легких, имеющих высокую удельную теплоемкость материалов;</w:t>
            </w:r>
          </w:p>
          <w:p>
            <w:pPr>
              <w:spacing w:after="60"/>
              <w:ind w:left="220" w:hanging="160"/>
            </w:pPr>
            <w:r>
              <w:rPr>
                <w:rFonts w:ascii="Arial" w:cs="Arial" w:eastAsia="Arial" w:hAnsi="Arial"/>
                <w:sz w:val="19"/>
                <w:szCs w:val="19"/>
              </w:rPr>
              <w:t xml:space="preserve">• Постановление № 1288, пункт 2.1.1.2.3 (также в разделе «законченные системы, используемые для законченных средств доставки»): Электронная аппаратура, специально разработанная для возвращаемых аппаратов</w:t>
            </w:r>
          </w:p>
          <w:p>
            <w:pPr>
              <w:spacing w:after="60"/>
              <w:ind w:left="220" w:hanging="160"/>
            </w:pPr>
            <w:r>
              <w:rPr>
                <w:rFonts w:ascii="Arial" w:cs="Arial" w:eastAsia="Arial" w:hAnsi="Arial"/>
                <w:sz w:val="19"/>
                <w:szCs w:val="19"/>
              </w:rPr>
              <w:t xml:space="preserve">• Постановление № 1288, пункт 2.1.1.4 (также в разделе «законченные системы, используемые для законченных средств доставки»): Системы наведения, используемые в средствах доставки, указанных в позиции 1.1, обеспечивающие точность доставки полезной нагрузки не более 3,33 процента от дальности (например, круговое вероятное отклонение (КВО) составляет 10 км или менее при дальности 300 км), за исключением систем, разработанных…</w:t>
            </w:r>
          </w:p>
          <w:p>
            <w:pPr>
              <w:spacing w:after="60"/>
              <w:ind w:left="220" w:hanging="160"/>
            </w:pPr>
            <w:r>
              <w:rPr>
                <w:rFonts w:ascii="Arial" w:cs="Arial" w:eastAsia="Arial" w:hAnsi="Arial"/>
                <w:sz w:val="19"/>
                <w:szCs w:val="19"/>
              </w:rPr>
              <w:t xml:space="preserve">• Постановление № 1288, пункт 2.1.1.6 (также в разделе «законченные системы, используемые для законченных средств доставки»): Механизмы обеспечения безопасности, взведения и подрыва взрывателя боезаряда или боеголовки, используемые в средствах доставки, указанных в позиции 1.1, за исключением механизмов, предназначенных для других средств доставки, не указанных в позиции 1.1</w:t>
            </w:r>
          </w:p>
          <w:p>
            <w:pPr>
              <w:spacing w:after="60"/>
              <w:ind w:left="220" w:hanging="160"/>
            </w:pPr>
            <w:r>
              <w:rPr>
                <w:rFonts w:ascii="Arial" w:cs="Arial" w:eastAsia="Arial" w:hAnsi="Arial"/>
                <w:sz w:val="19"/>
                <w:szCs w:val="19"/>
              </w:rPr>
              <w:t xml:space="preserve">• Постановление № 1288, пункт 20.1.1.1 (также в разделе «прочие законченные системы»): Отдельные ступени ракет, не указанные в позиции 2.1.1, используемые в средствах доставки, указанных в позиции 19.1;</w:t>
            </w:r>
          </w:p>
          <w:p>
            <w:pPr>
              <w:spacing w:after="60"/>
              <w:ind w:left="220" w:hanging="160"/>
            </w:pPr>
            <w:r>
              <w:rPr>
                <w:rFonts w:ascii="Arial" w:cs="Arial" w:eastAsia="Arial" w:hAnsi="Arial"/>
                <w:sz w:val="19"/>
                <w:szCs w:val="19"/>
              </w:rPr>
              <w:t xml:space="preserve">• Постановление № 1288, пункт 3.1.3 (также в разделе «элементы двигательных установок и оборудование»): Корпуса, сопла, элементы изоляции корпусов и сопел твердотопливных или гибридных ракетных двигателей, указанных в позиции 2.1.1.3 или 20.1.1.2</w:t>
            </w:r>
          </w:p>
          <w:p>
            <w:pPr>
              <w:spacing w:after="60"/>
              <w:ind w:left="220" w:hanging="160"/>
            </w:pPr>
            <w:r>
              <w:rPr>
                <w:rFonts w:ascii="Arial" w:cs="Arial" w:eastAsia="Arial" w:hAnsi="Arial"/>
                <w:sz w:val="19"/>
                <w:szCs w:val="19"/>
              </w:rPr>
              <w:t xml:space="preserve">• Постановление № 1288, пункт 3.1.4 (также в разделе «элементы двигательных установок и оборудование»): Механизмы стыковки и разделения ступеней, а также отсеки между ступенями, используемые в средствах доставки, указанных в позиции 1.1 Примечание. Для отрывных и межступенных электрических соединителей, специально разработанных для средств доставки, определенных в позиции 1.1.1 или 19.1.1, см.…</w:t>
            </w:r>
          </w:p>
          <w:p>
            <w:pPr>
              <w:spacing w:after="60"/>
              <w:ind w:left="220" w:hanging="160"/>
            </w:pPr>
            <w:r>
              <w:rPr>
                <w:rFonts w:ascii="Arial" w:cs="Arial" w:eastAsia="Arial" w:hAnsi="Arial"/>
                <w:sz w:val="19"/>
                <w:szCs w:val="19"/>
              </w:rPr>
              <w:t xml:space="preserve">• Постановление № 1288, пункт 9.1.4 (также в разделе «измерительное, навигационное и пеленгаторное оборудование и системы»): Все типы гироскопов, используемые в средствах доставки, указанных в позиции 1.1, 19.1.1 или 19.1.2, с номинальной (паспортной) стабильностью скорости дрейфа или случайной составляющей дрейфа нулевого сигнала менее 0,5 градуса (1 сигма или среднеквадратичное значение) в час при нормальной силе…</w:t>
            </w:r>
          </w:p>
          <w:p>
            <w:pPr>
              <w:spacing w:after="60"/>
              <w:ind w:left="220" w:hanging="160"/>
            </w:pPr>
            <w:r>
              <w:rPr>
                <w:rFonts w:ascii="Arial" w:cs="Arial" w:eastAsia="Arial" w:hAnsi="Arial"/>
                <w:sz w:val="19"/>
                <w:szCs w:val="19"/>
              </w:rPr>
              <w:t xml:space="preserve">• Постановление № 1288, пункт 9.1.5 (также в разделе «измерительное, навигационное и пеленгаторное оборудование и системы»): 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p>
            <w:pPr>
              <w:spacing w:after="60"/>
              <w:ind w:left="220" w:hanging="160"/>
            </w:pPr>
            <w:r>
              <w:rPr>
                <w:rFonts w:ascii="Arial" w:cs="Arial" w:eastAsia="Arial" w:hAnsi="Arial"/>
                <w:sz w:val="19"/>
                <w:szCs w:val="19"/>
              </w:rPr>
              <w:t xml:space="preserve">• Постановление № 1288, пункт 9.1.7 (также в разделе «измерительное, навигационное и пеленгаторное оборудование и системы»): Интегрированные навигационные системы, разработанные или модифицированные для средств доставки, указанных в позиции 1.1, 19.1.1 или 19.1.2, и способные обеспечить навигационную точность для достижения КВО менее или равного 200 м</w:t>
            </w:r>
          </w:p>
          <w:p>
            <w:pPr>
              <w:spacing w:after="60"/>
            </w:pPr>
            <w:hyperlink w:history="1" r:id="rIdjwqeoik-cgkqph9udhqwh">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8axeqeavdq_sesdnmlns-">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w:t>
            </w:r>
            <w:hyperlink w:history="1" r:id="rIdhw9oabyffovsgaywoztpo">
              <w:r>
                <w:rPr>
                  <w:rFonts w:ascii="Arial" w:cs="Arial" w:eastAsia="Arial" w:hAnsi="Arial"/>
                  <w:color w:val="1F5FBF"/>
                  <w:sz w:val="17"/>
                  <w:szCs w:val="17"/>
                  <w:u w:val="single"/>
                </w:rPr>
                <w:t xml:space="preserve">Федеральный закон от 18.07.1999 № 183-ФЗ</w:t>
              </w:r>
            </w:hyperlink>
            <w:r>
              <w:rPr>
                <w:rFonts w:ascii="Arial" w:cs="Arial" w:eastAsia="Arial" w:hAnsi="Arial"/>
                <w:color w:val="5B6472"/>
                <w:sz w:val="17"/>
                <w:szCs w:val="17"/>
              </w:rPr>
              <w:t xml:space="preserve">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9306909000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t8dja65z8tgeqbfikwy1z">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1.1.7.1, 1.3.7.2.1, 9.1.10.3 и другие; </w:t>
            </w:r>
            <w:hyperlink w:history="1" r:id="rIdimdjcotkkmq6q_xwutome">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ygpw8dxuh9_oxtnd8dkay">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1.1.7.1, 1.3.7.2.1, 9.1.10.3 и другие; </w:t>
            </w:r>
            <w:hyperlink w:history="1" r:id="rIdm5ma594xqu8v6rsfh0eo6">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wmhrgtamjsvvj-f5lol_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07vrbexrioznyylcdw8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9kugtx6atyv5dalbvzs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_fvivxvknmsvldxsw6tz">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idzac3jgu5vg1p9lqcavp">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https://imexp.ru/katalog/kod/9306909000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mqidkwa7nxhnfxo7k4j" Type="http://schemas.openxmlformats.org/officeDocument/2006/relationships/hyperlink" Target="https://imexp.ru/akty/reshenie-soveta-eek-80-2021" TargetMode="External"/><Relationship Id="rIdqfrvpstgdyc_eintnormn" Type="http://schemas.openxmlformats.org/officeDocument/2006/relationships/hyperlink" Target="https://imexp.ru/akty/reshenie-soveta-eek-80-2021" TargetMode="External"/><Relationship Id="rIdpqcyfek-1moohn2pbajcw" Type="http://schemas.openxmlformats.org/officeDocument/2006/relationships/hyperlink" Target="https://imexp.ru/akty/postanovlenie-313-2022" TargetMode="External"/><Relationship Id="rIdcyaxkm51muzq93j2frmpo" Type="http://schemas.openxmlformats.org/officeDocument/2006/relationships/hyperlink" Target="https://imexp.ru/akty/reshenie-kollegii-eek-30-2015" TargetMode="External"/><Relationship Id="rIdf9fwy64pon_vt7qqdcnfd" Type="http://schemas.openxmlformats.org/officeDocument/2006/relationships/hyperlink" Target="https://imexp.ru/akty/postanovlenie-1299-2022" TargetMode="External"/><Relationship Id="rIdlgn00vzc94f_xh-pac1rn" Type="http://schemas.openxmlformats.org/officeDocument/2006/relationships/hyperlink" Target="https://imexp.ru/akty/postanovlenie-1288-2022" TargetMode="External"/><Relationship Id="rId7ezut0jv5fvtbtnyuqzpm" Type="http://schemas.openxmlformats.org/officeDocument/2006/relationships/hyperlink" Target="https://imexp.ru/akty/postanovlenie-1637-2024" TargetMode="External"/><Relationship Id="rIdxt_hnvrg7n0n86ntekimc" Type="http://schemas.openxmlformats.org/officeDocument/2006/relationships/hyperlink" Target="https://imexp.ru/akty/postanovlenie-313-2022" TargetMode="External"/><Relationship Id="rId07ne709rdo9plz2d0bp2p" Type="http://schemas.openxmlformats.org/officeDocument/2006/relationships/hyperlink" Target="https://imexp.ru/akty/reshenie-kollegii-eek-30-2015" TargetMode="External"/><Relationship Id="rIdsd7oiqrytbeemxytmovmg" Type="http://schemas.openxmlformats.org/officeDocument/2006/relationships/hyperlink" Target="https://imexp.ru/akty/postanovlenie-1299-2022" TargetMode="External"/><Relationship Id="rIdgmdukybndpdaafur52w5p" Type="http://schemas.openxmlformats.org/officeDocument/2006/relationships/hyperlink" Target="https://imexp.ru/akty/postanovlenie-1299-2022" TargetMode="External"/><Relationship Id="rIdnxlh8pb3sfe1qzvqmk6a4" Type="http://schemas.openxmlformats.org/officeDocument/2006/relationships/hyperlink" Target="https://imexp.ru/akty/postanovlenie-1299-2022" TargetMode="External"/><Relationship Id="rIdjp1-thhqbmzuixc5xhans" Type="http://schemas.openxmlformats.org/officeDocument/2006/relationships/hyperlink" Target="https://imexp.ru/akty/postanovlenie-1299-2022" TargetMode="External"/><Relationship Id="rIdkaandjakwotetjs-j7cfy" Type="http://schemas.openxmlformats.org/officeDocument/2006/relationships/hyperlink" Target="https://imexp.ru/akty/postanovlenie-1299-2022" TargetMode="External"/><Relationship Id="rId9npvwfgngjw4aaacbkh_y" Type="http://schemas.openxmlformats.org/officeDocument/2006/relationships/hyperlink" Target="https://imexp.ru/akty/postanovlenie-1299-2022" TargetMode="External"/><Relationship Id="rIdyg6wt1uzdpygti905omas" Type="http://schemas.openxmlformats.org/officeDocument/2006/relationships/hyperlink" Target="https://imexp.ru/akty/postanovlenie-1299-2022" TargetMode="External"/><Relationship Id="rId1xf_ya5fkq1upmm1wemvc" Type="http://schemas.openxmlformats.org/officeDocument/2006/relationships/hyperlink" Target="https://imexp.ru/akty/postanovlenie-1299-2022" TargetMode="External"/><Relationship Id="rIdjwqeoik-cgkqph9udhqwh" Type="http://schemas.openxmlformats.org/officeDocument/2006/relationships/hyperlink" Target="https://imexp.ru/akty/postanovlenie-1299-2022" TargetMode="External"/><Relationship Id="rId8axeqeavdq_sesdnmlns-" Type="http://schemas.openxmlformats.org/officeDocument/2006/relationships/hyperlink" Target="https://imexp.ru/akty/postanovlenie-1288-2022" TargetMode="External"/><Relationship Id="rIdhw9oabyffovsgaywoztpo" Type="http://schemas.openxmlformats.org/officeDocument/2006/relationships/hyperlink" Target="https://imexp.ru/akty/federalnyy-zakon-183-fz-1999" TargetMode="External"/><Relationship Id="rIdt8dja65z8tgeqbfikwy1z" Type="http://schemas.openxmlformats.org/officeDocument/2006/relationships/hyperlink" Target="https://imexp.ru/akty/postanovlenie-1299-2022" TargetMode="External"/><Relationship Id="rIdimdjcotkkmq6q_xwutome" Type="http://schemas.openxmlformats.org/officeDocument/2006/relationships/hyperlink" Target="https://imexp.ru/akty/postanovlenie-1288-2022" TargetMode="External"/><Relationship Id="rIdygpw8dxuh9_oxtnd8dkay" Type="http://schemas.openxmlformats.org/officeDocument/2006/relationships/hyperlink" Target="https://imexp.ru/akty/postanovlenie-1299-2022" TargetMode="External"/><Relationship Id="rIdm5ma594xqu8v6rsfh0eo6" Type="http://schemas.openxmlformats.org/officeDocument/2006/relationships/hyperlink" Target="https://imexp.ru/akty/postanovlenie-1288-2022" TargetMode="External"/><Relationship Id="rIdwmhrgtamjsvvj-f5lol_7" Type="http://schemas.openxmlformats.org/officeDocument/2006/relationships/hyperlink" Target="https://imexp.ru/akty/reshenie-kts-257-2010" TargetMode="External"/><Relationship Id="rId407vrbexrioznyylcdw8s" Type="http://schemas.openxmlformats.org/officeDocument/2006/relationships/hyperlink" Target="https://imexp.ru/akty/reshenie-kts-378-2010" TargetMode="External"/><Relationship Id="rIdg9kugtx6atyv5dalbvzs5" Type="http://schemas.openxmlformats.org/officeDocument/2006/relationships/hyperlink" Target="https://docs.eaeunion.org/documents/463/10896/" TargetMode="External"/><Relationship Id="rIdm_fvivxvknmsvldxsw6tz" Type="http://schemas.openxmlformats.org/officeDocument/2006/relationships/hyperlink" Target="https://docs.eaeunion.org/documents/315/2949/" TargetMode="External"/><Relationship Id="rIdidzac3jgu5vg1p9lqcavp" Type="http://schemas.openxmlformats.org/officeDocument/2006/relationships/hyperlink" Target="https://docs.eaeunion.org/documents/305/2174/"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9306 90 900 0: вывоз</dc:title>
  <dc:creator>IMEXP</dc:creator>
  <cp:lastModifiedBy>Un-named</cp:lastModifiedBy>
  <cp:revision>1</cp:revision>
  <dcterms:created xsi:type="dcterms:W3CDTF">2026-11-05T14:11:12.625Z</dcterms:created>
  <dcterms:modified xsi:type="dcterms:W3CDTF">2026-11-05T14:11:12.625Z</dcterms:modified>
</cp:coreProperties>
</file>

<file path=docProps/custom.xml><?xml version="1.0" encoding="utf-8"?>
<Properties xmlns="http://schemas.openxmlformats.org/officeDocument/2006/custom-properties" xmlns:vt="http://schemas.openxmlformats.org/officeDocument/2006/docPropsVTypes"/>
</file>